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914" w:rsidRPr="00DA2914" w:rsidRDefault="00DA2914" w:rsidP="00DA2914">
      <w:pPr>
        <w:jc w:val="right"/>
        <w:rPr>
          <w:b/>
          <w:spacing w:val="40"/>
          <w:szCs w:val="24"/>
        </w:rPr>
      </w:pPr>
      <w:r>
        <w:rPr>
          <w:b/>
          <w:spacing w:val="40"/>
          <w:szCs w:val="24"/>
        </w:rPr>
        <w:t>IV.</w:t>
      </w:r>
    </w:p>
    <w:p w:rsidR="00DA2914" w:rsidRDefault="00DA2914" w:rsidP="00DA2914">
      <w:pPr>
        <w:jc w:val="center"/>
        <w:rPr>
          <w:b/>
          <w:spacing w:val="40"/>
          <w:sz w:val="28"/>
          <w:szCs w:val="28"/>
        </w:rPr>
      </w:pPr>
      <w:r>
        <w:rPr>
          <w:b/>
          <w:spacing w:val="40"/>
          <w:sz w:val="28"/>
          <w:szCs w:val="28"/>
        </w:rPr>
        <w:t>ODŮVODNĚNÍ</w:t>
      </w:r>
    </w:p>
    <w:p w:rsidR="00DA2914" w:rsidRDefault="00DA2914" w:rsidP="00DA2914">
      <w:pPr>
        <w:jc w:val="center"/>
        <w:rPr>
          <w:spacing w:val="20"/>
          <w:szCs w:val="24"/>
        </w:rPr>
      </w:pPr>
    </w:p>
    <w:p w:rsidR="00DA2914" w:rsidRDefault="00DA2914" w:rsidP="00DA2914">
      <w:pPr>
        <w:jc w:val="center"/>
        <w:rPr>
          <w:spacing w:val="20"/>
          <w:szCs w:val="24"/>
        </w:rPr>
      </w:pPr>
    </w:p>
    <w:p w:rsidR="00DA2914" w:rsidRDefault="00DA2914" w:rsidP="00DA2914">
      <w:pPr>
        <w:jc w:val="center"/>
        <w:rPr>
          <w:spacing w:val="20"/>
          <w:szCs w:val="24"/>
        </w:rPr>
      </w:pPr>
    </w:p>
    <w:p w:rsidR="00DA2914" w:rsidRDefault="00DA2914" w:rsidP="00DA2914">
      <w:pPr>
        <w:jc w:val="center"/>
        <w:rPr>
          <w:rFonts w:ascii="Arial" w:hAnsi="Arial" w:cs="Arial"/>
          <w:b/>
          <w:szCs w:val="24"/>
        </w:rPr>
      </w:pPr>
      <w:r>
        <w:rPr>
          <w:rFonts w:ascii="Arial" w:hAnsi="Arial" w:cs="Arial"/>
          <w:b/>
          <w:szCs w:val="24"/>
        </w:rPr>
        <w:t>I. OBECNÁ ČÁST</w:t>
      </w:r>
    </w:p>
    <w:p w:rsidR="00DA2914" w:rsidRDefault="00DA2914" w:rsidP="00DA2914">
      <w:pPr>
        <w:jc w:val="center"/>
        <w:rPr>
          <w:spacing w:val="20"/>
          <w:szCs w:val="24"/>
        </w:rPr>
      </w:pPr>
    </w:p>
    <w:p w:rsidR="00DA2914" w:rsidRDefault="00DA2914" w:rsidP="00DA2914">
      <w:pPr>
        <w:jc w:val="center"/>
        <w:rPr>
          <w:spacing w:val="20"/>
          <w:szCs w:val="24"/>
        </w:rPr>
      </w:pPr>
    </w:p>
    <w:p w:rsidR="00DA2914" w:rsidRDefault="00DA2914" w:rsidP="00DA2914">
      <w:pPr>
        <w:jc w:val="center"/>
        <w:rPr>
          <w:spacing w:val="20"/>
          <w:szCs w:val="24"/>
        </w:rPr>
      </w:pPr>
    </w:p>
    <w:p w:rsidR="00DA2914" w:rsidRDefault="00DA2914" w:rsidP="00DA2914">
      <w:pPr>
        <w:suppressAutoHyphens/>
        <w:rPr>
          <w:b/>
        </w:rPr>
      </w:pPr>
      <w:r>
        <w:rPr>
          <w:b/>
        </w:rPr>
        <w:t>Vysvětlení nezbytnosti navrhované právní úpravy, odůvodnění jejích hlavních principů, zhodnocení platného právního stavu a odůvodnění nezbytnosti jeho změny</w:t>
      </w:r>
    </w:p>
    <w:p w:rsidR="00DA2914" w:rsidRDefault="00DA2914" w:rsidP="00DA2914">
      <w:pPr>
        <w:jc w:val="center"/>
        <w:rPr>
          <w:szCs w:val="24"/>
        </w:rPr>
      </w:pPr>
    </w:p>
    <w:p w:rsidR="00DA2914" w:rsidRDefault="00DA2914" w:rsidP="00DA2914">
      <w:pPr>
        <w:ind w:firstLine="709"/>
        <w:rPr>
          <w:szCs w:val="24"/>
        </w:rPr>
      </w:pPr>
      <w:r>
        <w:rPr>
          <w:szCs w:val="24"/>
        </w:rPr>
        <w:t xml:space="preserve">Zákon č. 167/1998 Sb., o návykových látkách a o změně některých dalších zákonů, </w:t>
      </w:r>
      <w:r>
        <w:t>ve znění zákona č. 273/2013 Sb.,</w:t>
      </w:r>
      <w:r>
        <w:rPr>
          <w:szCs w:val="24"/>
        </w:rPr>
        <w:t xml:space="preserve"> (dále jen „zákon“) v § 44c odst. 1 a odst. 2 zmocňuje vládu k vyhlášení seznamu omamných a psychotropních látek. Toto ustanovení provádí nařízení vlády č. 463/2013 Sb., o seznamech návykových látek (dále jen „nařízení vlády“).</w:t>
      </w:r>
    </w:p>
    <w:p w:rsidR="00DA2914" w:rsidRDefault="00DA2914" w:rsidP="00DA2914">
      <w:pPr>
        <w:ind w:firstLine="709"/>
        <w:rPr>
          <w:szCs w:val="24"/>
        </w:rPr>
      </w:pPr>
    </w:p>
    <w:p w:rsidR="00DA2914" w:rsidRDefault="00DA2914" w:rsidP="00DA2914">
      <w:pPr>
        <w:ind w:firstLine="709"/>
        <w:rPr>
          <w:szCs w:val="24"/>
        </w:rPr>
      </w:pPr>
      <w:r>
        <w:rPr>
          <w:szCs w:val="24"/>
        </w:rPr>
        <w:t xml:space="preserve">Vzhledem k tomu, že drogový trh nejen v České republice, ale i v celé Evropské unii neustále zaplavují nové syntetické drogy, které jsou syntetizovány s cílem vyhnout se chemickým strukturám, jež spadají pod kontrolní režim omamných či psychotropních látek, je nezbytné těmto tendencím čelit. Proto se sešla pracovní skupina Systému včasného varování před novými syntetickými drogami – Early </w:t>
      </w:r>
      <w:proofErr w:type="spellStart"/>
      <w:r>
        <w:rPr>
          <w:szCs w:val="24"/>
        </w:rPr>
        <w:t>warning</w:t>
      </w:r>
      <w:proofErr w:type="spellEnd"/>
      <w:r>
        <w:rPr>
          <w:szCs w:val="24"/>
        </w:rPr>
        <w:t xml:space="preserve"> </w:t>
      </w:r>
      <w:proofErr w:type="spellStart"/>
      <w:r>
        <w:rPr>
          <w:szCs w:val="24"/>
        </w:rPr>
        <w:t>system</w:t>
      </w:r>
      <w:proofErr w:type="spellEnd"/>
      <w:r>
        <w:rPr>
          <w:szCs w:val="24"/>
        </w:rPr>
        <w:t xml:space="preserve"> (dále jen „EWS“), která pracuje při Národním monitorovacím středisku pro drogy a drogové závislosti s cílem vyhodnotit současnou situaci v oblasti nových drog v České republice. Pracovní skupina EWS shromažďuje a vyhodnocuje data o výrobě, distribuci a užívání nových psychoaktivních látek v České republice, a zajišťuje rychlou výměnu informací jak na národní, tak mezinárodní úrovni. Cílem EWS je zprostředkovat co nejrychlejší a nejkvalitnější informace o výskytu </w:t>
      </w:r>
      <w:r>
        <w:rPr>
          <w:szCs w:val="24"/>
        </w:rPr>
        <w:br/>
        <w:t xml:space="preserve">a užívání nových psychoaktivních látek v České republice a spolupráce v rámci EWS v Evropské unii v oblasti drog. Experti EWS doporučili na svém jednání 12 látek k zařazení na seznam návykových látek nařízení vlády. Jedná se o AH-7921, APINACA, </w:t>
      </w:r>
      <w:r>
        <w:rPr>
          <w:color w:val="000000"/>
        </w:rPr>
        <w:t>4,4'-</w:t>
      </w:r>
      <w:r>
        <w:rPr>
          <w:color w:val="000000"/>
        </w:rPr>
        <w:br/>
        <w:t>-DMAR</w:t>
      </w:r>
      <w:r>
        <w:rPr>
          <w:szCs w:val="24"/>
        </w:rPr>
        <w:t xml:space="preserve">, </w:t>
      </w:r>
      <w:r>
        <w:rPr>
          <w:color w:val="000000"/>
        </w:rPr>
        <w:t>3,4-DMMC</w:t>
      </w:r>
      <w:r>
        <w:rPr>
          <w:szCs w:val="24"/>
        </w:rPr>
        <w:t xml:space="preserve"> , 4-FA, 5F-AKB48, 3-FMC, 25I-NBOMe, 3-MEC, 3MMC, </w:t>
      </w:r>
      <w:proofErr w:type="spellStart"/>
      <w:r>
        <w:rPr>
          <w:szCs w:val="24"/>
        </w:rPr>
        <w:t>Pentedron</w:t>
      </w:r>
      <w:proofErr w:type="spellEnd"/>
      <w:r>
        <w:rPr>
          <w:szCs w:val="24"/>
        </w:rPr>
        <w:t xml:space="preserve">, </w:t>
      </w:r>
      <w:r>
        <w:rPr>
          <w:color w:val="000000"/>
        </w:rPr>
        <w:sym w:font="Symbol" w:char="F061"/>
      </w:r>
      <w:r>
        <w:rPr>
          <w:color w:val="000000"/>
        </w:rPr>
        <w:t>-PVP</w:t>
      </w:r>
      <w:r>
        <w:rPr>
          <w:szCs w:val="24"/>
        </w:rPr>
        <w:t xml:space="preserve">. Tyto nové látky byly vytipovány zejména s ohledem na výskyt v České republice </w:t>
      </w:r>
      <w:r>
        <w:rPr>
          <w:szCs w:val="24"/>
        </w:rPr>
        <w:br/>
        <w:t xml:space="preserve">a v sousedních zemích, zdravotní rizika spojená s užíváním těchto látek, strukturní podobnost s již zařazenými látkami, pravděpodobnost rozšíření těchto nových látek v České republice, dopadů opatření na legální zacházení s látkami. Vedle primárního cíle, kterým je zejména ochrana zdraví obyvatel České republiky před nežádoucími účinky nových drog a zabránění masivnímu rozšíření těchto nových látek na nelegálním trhu, přináší toto opatření také sekundární efekt. Tím je fakt, že Česká republika nebude legální vstupní branou těchto látek na společný evropský trh. Většina těchto látek je totiž cíleně dovážena do Evropské unie přes zemi, kde nejsou zavedena opatření nad těmito látkami a následně převážena do zemí, kde sice jsou nad danou látkou zavedena kontrolní opatření, ale vzhledem k absenci kontroly </w:t>
      </w:r>
      <w:r>
        <w:rPr>
          <w:szCs w:val="24"/>
        </w:rPr>
        <w:br/>
        <w:t>na hranicích a volnému pohybu osob a zboží, nelze tomuto problému prakticky efektivně zabránit.</w:t>
      </w:r>
    </w:p>
    <w:p w:rsidR="00DA2914" w:rsidRDefault="00DA2914" w:rsidP="00DA2914">
      <w:pPr>
        <w:ind w:firstLine="709"/>
        <w:rPr>
          <w:szCs w:val="24"/>
        </w:rPr>
      </w:pPr>
    </w:p>
    <w:p w:rsidR="00DA2914" w:rsidRDefault="00DA2914" w:rsidP="00DA2914">
      <w:pPr>
        <w:ind w:firstLine="709"/>
        <w:rPr>
          <w:szCs w:val="24"/>
        </w:rPr>
      </w:pPr>
      <w:r>
        <w:rPr>
          <w:szCs w:val="24"/>
        </w:rPr>
        <w:t xml:space="preserve">Dalším podnětem k novelizaci nařízení vlády je nová evropská legislativa, v oblasti psychotropních látek. Jedná se o prováděcí rozhodnutí Rady (2014/688/EU) ze dne 25. září 2014 o podrobení </w:t>
      </w:r>
      <w:proofErr w:type="gramStart"/>
      <w:r>
        <w:rPr>
          <w:szCs w:val="24"/>
        </w:rPr>
        <w:t>látek 4-jod-2</w:t>
      </w:r>
      <w:proofErr w:type="gramEnd"/>
      <w:r>
        <w:rPr>
          <w:szCs w:val="24"/>
        </w:rPr>
        <w:t>,5-dimethoxy-N-(2-methoxybenzyl)</w:t>
      </w:r>
      <w:proofErr w:type="spellStart"/>
      <w:r>
        <w:rPr>
          <w:szCs w:val="24"/>
        </w:rPr>
        <w:t>fenethylamin</w:t>
      </w:r>
      <w:proofErr w:type="spellEnd"/>
      <w:r>
        <w:rPr>
          <w:szCs w:val="24"/>
        </w:rPr>
        <w:t xml:space="preserve"> (25I-</w:t>
      </w:r>
      <w:r>
        <w:rPr>
          <w:szCs w:val="24"/>
        </w:rPr>
        <w:br/>
        <w:t>-</w:t>
      </w:r>
      <w:proofErr w:type="spellStart"/>
      <w:r>
        <w:rPr>
          <w:szCs w:val="24"/>
        </w:rPr>
        <w:t>NBOMe</w:t>
      </w:r>
      <w:proofErr w:type="spellEnd"/>
      <w:r>
        <w:rPr>
          <w:szCs w:val="24"/>
        </w:rPr>
        <w:t xml:space="preserve">), 3,4- </w:t>
      </w:r>
      <w:proofErr w:type="spellStart"/>
      <w:r>
        <w:rPr>
          <w:szCs w:val="24"/>
        </w:rPr>
        <w:t>dichlor</w:t>
      </w:r>
      <w:proofErr w:type="spellEnd"/>
      <w:r>
        <w:rPr>
          <w:szCs w:val="24"/>
        </w:rPr>
        <w:t>-N-[[1-(</w:t>
      </w:r>
      <w:proofErr w:type="spellStart"/>
      <w:r>
        <w:rPr>
          <w:szCs w:val="24"/>
        </w:rPr>
        <w:t>dimethylamino</w:t>
      </w:r>
      <w:proofErr w:type="spellEnd"/>
      <w:r>
        <w:rPr>
          <w:szCs w:val="24"/>
        </w:rPr>
        <w:t>)</w:t>
      </w:r>
      <w:proofErr w:type="spellStart"/>
      <w:r>
        <w:rPr>
          <w:szCs w:val="24"/>
        </w:rPr>
        <w:t>cyklohexyl</w:t>
      </w:r>
      <w:proofErr w:type="spellEnd"/>
      <w:r>
        <w:rPr>
          <w:szCs w:val="24"/>
        </w:rPr>
        <w:t>]</w:t>
      </w:r>
      <w:proofErr w:type="spellStart"/>
      <w:r>
        <w:rPr>
          <w:szCs w:val="24"/>
        </w:rPr>
        <w:t>methyl</w:t>
      </w:r>
      <w:proofErr w:type="spellEnd"/>
      <w:r>
        <w:rPr>
          <w:szCs w:val="24"/>
        </w:rPr>
        <w:t>]</w:t>
      </w:r>
      <w:proofErr w:type="spellStart"/>
      <w:r>
        <w:rPr>
          <w:szCs w:val="24"/>
        </w:rPr>
        <w:t>benzamid</w:t>
      </w:r>
      <w:proofErr w:type="spellEnd"/>
      <w:r>
        <w:rPr>
          <w:szCs w:val="24"/>
        </w:rPr>
        <w:t xml:space="preserve"> (AH-7921), 3,4-</w:t>
      </w:r>
      <w:r>
        <w:rPr>
          <w:szCs w:val="24"/>
        </w:rPr>
        <w:br/>
        <w:t>-</w:t>
      </w:r>
      <w:proofErr w:type="spellStart"/>
      <w:r>
        <w:rPr>
          <w:szCs w:val="24"/>
        </w:rPr>
        <w:t>methylendioxypyrovaleron</w:t>
      </w:r>
      <w:proofErr w:type="spellEnd"/>
      <w:r>
        <w:rPr>
          <w:szCs w:val="24"/>
        </w:rPr>
        <w:t xml:space="preserve"> (MDPV) a 2-(3-methoxyfenyl)-2-(</w:t>
      </w:r>
      <w:proofErr w:type="spellStart"/>
      <w:r>
        <w:rPr>
          <w:szCs w:val="24"/>
        </w:rPr>
        <w:t>ethylamino</w:t>
      </w:r>
      <w:proofErr w:type="spellEnd"/>
      <w:r>
        <w:rPr>
          <w:szCs w:val="24"/>
        </w:rPr>
        <w:t>)cyklohexanon (</w:t>
      </w:r>
      <w:proofErr w:type="spellStart"/>
      <w:r>
        <w:rPr>
          <w:szCs w:val="24"/>
        </w:rPr>
        <w:t>methoxetamin</w:t>
      </w:r>
      <w:proofErr w:type="spellEnd"/>
      <w:r>
        <w:rPr>
          <w:szCs w:val="24"/>
        </w:rPr>
        <w:t xml:space="preserve">) kontrolním opatřením. Toto rozhodnutí ukládá v čl. 2 členským státům </w:t>
      </w:r>
      <w:r>
        <w:rPr>
          <w:szCs w:val="24"/>
        </w:rPr>
        <w:br/>
      </w:r>
      <w:r>
        <w:rPr>
          <w:szCs w:val="24"/>
        </w:rPr>
        <w:lastRenderedPageBreak/>
        <w:t>do 2. října 2015 podrobit v souladu se svými vnitrostátními předpisy tyto nové psychoaktivní látky kontrolním opatřením a trestům stanoveným jejich právními předpisy, které jsou v souladu s jejich závazky vyplývajícími z Úmluvy Organizace spojených národů o psychotropních látkách z roku 1971. Látka MDPV je již na seznamu č. 4 k nařízení vlády.</w:t>
      </w:r>
    </w:p>
    <w:p w:rsidR="00DA2914" w:rsidRDefault="00DA2914" w:rsidP="00DA2914">
      <w:pPr>
        <w:ind w:firstLine="709"/>
        <w:rPr>
          <w:szCs w:val="24"/>
        </w:rPr>
      </w:pPr>
    </w:p>
    <w:p w:rsidR="00DA2914" w:rsidRDefault="00DA2914" w:rsidP="00DA2914">
      <w:pPr>
        <w:ind w:firstLine="709"/>
        <w:rPr>
          <w:szCs w:val="24"/>
        </w:rPr>
      </w:pPr>
      <w:r>
        <w:rPr>
          <w:szCs w:val="24"/>
        </w:rPr>
        <w:t xml:space="preserve">Vedle již platné legislativy navrhuje Evropská komise Radě Evropské unie také rozhodnutí o podrobení </w:t>
      </w:r>
      <w:proofErr w:type="gramStart"/>
      <w:r>
        <w:rPr>
          <w:szCs w:val="24"/>
        </w:rPr>
        <w:t>látek 4-methyl-5</w:t>
      </w:r>
      <w:proofErr w:type="gramEnd"/>
      <w:r>
        <w:rPr>
          <w:szCs w:val="24"/>
        </w:rPr>
        <w:t>-(4-methylfenyl)-4,5-dihydrooxazol-2-amin (4,4'-</w:t>
      </w:r>
      <w:r>
        <w:rPr>
          <w:szCs w:val="24"/>
        </w:rPr>
        <w:br/>
        <w:t xml:space="preserve">-DMAR) a 1-cyklohexyl-4-(1,2-difenylethyl)-piperazin (MT-45) kontrolním opatřením </w:t>
      </w:r>
      <w:r>
        <w:rPr>
          <w:szCs w:val="24"/>
        </w:rPr>
        <w:br/>
        <w:t>a trestům podle Úmluvy Organizace spojených národů o psychotropních látkách z roku 1971. Toto rozhodnutí je ve finální fázi projednávání.</w:t>
      </w:r>
    </w:p>
    <w:p w:rsidR="00DA2914" w:rsidRDefault="00DA2914" w:rsidP="00DA2914">
      <w:pPr>
        <w:ind w:firstLine="709"/>
        <w:rPr>
          <w:szCs w:val="24"/>
        </w:rPr>
      </w:pPr>
    </w:p>
    <w:p w:rsidR="00DA2914" w:rsidRDefault="00DA2914" w:rsidP="00DA2914">
      <w:pPr>
        <w:ind w:firstLine="709"/>
        <w:rPr>
          <w:szCs w:val="24"/>
        </w:rPr>
      </w:pPr>
      <w:r>
        <w:rPr>
          <w:szCs w:val="24"/>
        </w:rPr>
        <w:t>V neposlední řadě je impulsem pro novelizaci nařízení vlády také doporučení generální ředitelky Světové zdravotnické organizace (dále jen „WHO“) zaslané generálnímu tajemníkovi Organizace spojených národů (dále jen „OSN“) na doplnění seznamů omamných látek a psychotropních látek v souladu s Jednotnou Úmluvou o omamných látkách z roku 1961 ve znění Protokolu o změnách Jednotné úmluvy o omamných látkách z roku 1961</w:t>
      </w:r>
      <w:r>
        <w:rPr>
          <w:szCs w:val="24"/>
        </w:rPr>
        <w:br/>
        <w:t>a Úmluvou o psychotropních látkách z roku 1971. Návrh na doplnění seznamů bude předložen během 58. zasedání Komise OSN pro omamné látky v březnu 2015. Valná část látek, které WHO doporučuje doplnit na seznam kontrolovaných látek je již v České republice legislativně ošetřena. V tomto smyslu také Ministerstvo zdravotnictví připravilo stanovisko pro Radu vlády pro koordinaci protidrogové politiky, která připravila stanovisko České republiky pro Sekretariát výkonného ředitele Úřadu OSN pro drogy a kriminalitu, jež bude podkladem pro jednání Komise OSN pro omamné látky, která bude návrh WHO posuzovat. Z návrhu WHO tak pro potřeby České republiky vyplývá zařazení látek AH-7921, 25B-</w:t>
      </w:r>
      <w:r>
        <w:rPr>
          <w:szCs w:val="24"/>
        </w:rPr>
        <w:br/>
        <w:t>-</w:t>
      </w:r>
      <w:proofErr w:type="spellStart"/>
      <w:r>
        <w:rPr>
          <w:szCs w:val="24"/>
        </w:rPr>
        <w:t>NBOMe</w:t>
      </w:r>
      <w:proofErr w:type="spellEnd"/>
      <w:r>
        <w:rPr>
          <w:szCs w:val="24"/>
        </w:rPr>
        <w:t>, 25C-NBOMe, 25I-NBOMe.</w:t>
      </w:r>
    </w:p>
    <w:p w:rsidR="00DA2914" w:rsidRDefault="00DA2914" w:rsidP="00DA2914">
      <w:pPr>
        <w:ind w:firstLine="709"/>
        <w:rPr>
          <w:szCs w:val="24"/>
        </w:rPr>
      </w:pPr>
    </w:p>
    <w:p w:rsidR="00DA2914" w:rsidRDefault="00DA2914" w:rsidP="00DA2914">
      <w:pPr>
        <w:ind w:firstLine="709"/>
        <w:rPr>
          <w:szCs w:val="24"/>
        </w:rPr>
      </w:pPr>
      <w:r>
        <w:rPr>
          <w:szCs w:val="24"/>
        </w:rPr>
        <w:t xml:space="preserve">Přestože se u materiálu OSN jedná pouze o návrh na zařazení látek, stejně tak jako </w:t>
      </w:r>
      <w:r>
        <w:rPr>
          <w:szCs w:val="24"/>
        </w:rPr>
        <w:br/>
        <w:t>u návrhu rozhodnutí Rady Evropské unie, nebrání tato skutečnost České republice v zařazení těchto látek a to i přesto, že by návrhy nebyly přijaty. Jednotná Úmluva o omamných látkách z roku 1961 ve znění Protokolu o změnách Jednotné úmluvy o omamných látkách z roku 1961 a Úmluva o psychotropních látkách z roku 1971 totiž připouštějí přijetí přísnějších opatření na národní úrovni, než požadují citované úmluvy. S tímto faktem operují také rozhodnutí Rady Evropské unie stejně tak jako zákon. Vzhledem ke skutečnosti, že odůvodnění k návrhům na zařazení látek ze strany Evropské unie a OSN obsahuje znepokojivé informace o zneužívání látek, doporučuje Ministerstvo zdravotnictví zařazení těchto látek bez ohledu na osud návrhu.</w:t>
      </w:r>
    </w:p>
    <w:p w:rsidR="00DA2914" w:rsidRDefault="00DA2914" w:rsidP="00DA2914">
      <w:pPr>
        <w:ind w:firstLine="709"/>
        <w:rPr>
          <w:szCs w:val="24"/>
        </w:rPr>
      </w:pPr>
    </w:p>
    <w:p w:rsidR="00DA2914" w:rsidRDefault="00DA2914" w:rsidP="00DA2914">
      <w:pPr>
        <w:ind w:firstLine="709"/>
        <w:rPr>
          <w:szCs w:val="24"/>
        </w:rPr>
      </w:pPr>
      <w:r>
        <w:rPr>
          <w:szCs w:val="24"/>
        </w:rPr>
        <w:t>Vzhledem k faktu, že u některých látek nacházíme konsensus mezi návrhem EWS, Evropské unie a OSN, uvádí důvodová zpráva tabulku, která obsahuje přehled všech zařazovaných látek, spolu s příslušností ke skupině a iniciátorem zařazení.</w:t>
      </w:r>
    </w:p>
    <w:p w:rsidR="00DA2914" w:rsidRDefault="00DA2914" w:rsidP="00DA2914">
      <w:pPr>
        <w:ind w:firstLine="709"/>
        <w:rPr>
          <w:szCs w:val="24"/>
        </w:rPr>
      </w:pPr>
    </w:p>
    <w:p w:rsidR="00DA2914" w:rsidRDefault="00DA2914" w:rsidP="00DA2914">
      <w:pPr>
        <w:rPr>
          <w:szCs w:val="24"/>
        </w:rPr>
      </w:pPr>
      <w:r>
        <w:rPr>
          <w:b/>
          <w:szCs w:val="24"/>
        </w:rPr>
        <w:t>Tabulka</w:t>
      </w:r>
      <w:r>
        <w:rPr>
          <w:szCs w:val="24"/>
        </w:rPr>
        <w:t xml:space="preserve"> – Přehled zařazovaných látek</w:t>
      </w:r>
    </w:p>
    <w:tbl>
      <w:tblPr>
        <w:tblW w:w="7530" w:type="dxa"/>
        <w:tblInd w:w="55"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67"/>
        <w:gridCol w:w="1843"/>
        <w:gridCol w:w="2269"/>
        <w:gridCol w:w="850"/>
        <w:gridCol w:w="851"/>
        <w:gridCol w:w="850"/>
      </w:tblGrid>
      <w:tr w:rsidR="00DA2914" w:rsidTr="00DA2914">
        <w:trPr>
          <w:trHeight w:val="300"/>
          <w:tblHeader/>
        </w:trPr>
        <w:tc>
          <w:tcPr>
            <w:tcW w:w="866" w:type="dxa"/>
            <w:tcBorders>
              <w:top w:val="threeDEmboss" w:sz="24" w:space="0" w:color="auto"/>
              <w:left w:val="threeDEmboss" w:sz="24" w:space="0" w:color="auto"/>
              <w:bottom w:val="nil"/>
              <w:right w:val="single" w:sz="6" w:space="0" w:color="auto"/>
            </w:tcBorders>
            <w:shd w:val="pct20" w:color="auto" w:fill="auto"/>
            <w:noWrap/>
            <w:vAlign w:val="bottom"/>
          </w:tcPr>
          <w:p w:rsidR="00DA2914" w:rsidRDefault="00DA2914">
            <w:pPr>
              <w:spacing w:before="60" w:after="60" w:line="276" w:lineRule="auto"/>
              <w:jc w:val="center"/>
              <w:rPr>
                <w:b/>
                <w:bCs/>
                <w:color w:val="000000"/>
                <w:sz w:val="28"/>
                <w:szCs w:val="28"/>
                <w:lang w:eastAsia="en-US"/>
              </w:rPr>
            </w:pPr>
          </w:p>
        </w:tc>
        <w:tc>
          <w:tcPr>
            <w:tcW w:w="1843" w:type="dxa"/>
            <w:tcBorders>
              <w:top w:val="threeDEmboss" w:sz="24" w:space="0" w:color="auto"/>
              <w:left w:val="single" w:sz="6" w:space="0" w:color="auto"/>
              <w:bottom w:val="nil"/>
              <w:right w:val="single" w:sz="6" w:space="0" w:color="auto"/>
            </w:tcBorders>
            <w:shd w:val="pct20" w:color="auto" w:fill="auto"/>
            <w:vAlign w:val="bottom"/>
          </w:tcPr>
          <w:p w:rsidR="00DA2914" w:rsidRDefault="00DA2914">
            <w:pPr>
              <w:spacing w:before="60" w:after="60" w:line="276" w:lineRule="auto"/>
              <w:rPr>
                <w:b/>
                <w:bCs/>
                <w:color w:val="000000"/>
                <w:sz w:val="28"/>
                <w:szCs w:val="28"/>
                <w:lang w:eastAsia="en-US"/>
              </w:rPr>
            </w:pPr>
          </w:p>
        </w:tc>
        <w:tc>
          <w:tcPr>
            <w:tcW w:w="2268" w:type="dxa"/>
            <w:tcBorders>
              <w:top w:val="threeDEmboss" w:sz="24" w:space="0" w:color="auto"/>
              <w:left w:val="single" w:sz="6" w:space="0" w:color="auto"/>
              <w:bottom w:val="nil"/>
              <w:right w:val="single" w:sz="6" w:space="0" w:color="auto"/>
            </w:tcBorders>
            <w:shd w:val="pct20" w:color="auto" w:fill="auto"/>
            <w:noWrap/>
            <w:vAlign w:val="bottom"/>
          </w:tcPr>
          <w:p w:rsidR="00DA2914" w:rsidRDefault="00DA2914">
            <w:pPr>
              <w:spacing w:before="60" w:after="60" w:line="276" w:lineRule="auto"/>
              <w:rPr>
                <w:b/>
                <w:bCs/>
                <w:color w:val="000000"/>
                <w:sz w:val="28"/>
                <w:szCs w:val="28"/>
                <w:lang w:eastAsia="en-US"/>
              </w:rPr>
            </w:pPr>
          </w:p>
        </w:tc>
        <w:tc>
          <w:tcPr>
            <w:tcW w:w="2551" w:type="dxa"/>
            <w:gridSpan w:val="3"/>
            <w:tcBorders>
              <w:top w:val="threeDEmboss" w:sz="24" w:space="0" w:color="auto"/>
              <w:left w:val="single" w:sz="6" w:space="0" w:color="auto"/>
              <w:bottom w:val="single" w:sz="4" w:space="0" w:color="auto"/>
              <w:right w:val="threeDEmboss" w:sz="24" w:space="0" w:color="auto"/>
            </w:tcBorders>
            <w:shd w:val="pct20" w:color="auto" w:fill="auto"/>
            <w:vAlign w:val="bottom"/>
            <w:hideMark/>
          </w:tcPr>
          <w:p w:rsidR="00DA2914" w:rsidRDefault="00DA2914">
            <w:pPr>
              <w:spacing w:before="60" w:after="60" w:line="276" w:lineRule="auto"/>
              <w:jc w:val="center"/>
              <w:rPr>
                <w:b/>
                <w:bCs/>
                <w:color w:val="000000"/>
                <w:sz w:val="28"/>
                <w:szCs w:val="28"/>
                <w:lang w:eastAsia="en-US"/>
              </w:rPr>
            </w:pPr>
            <w:r>
              <w:rPr>
                <w:b/>
                <w:bCs/>
                <w:color w:val="000000"/>
                <w:sz w:val="28"/>
                <w:szCs w:val="28"/>
                <w:lang w:eastAsia="en-US"/>
              </w:rPr>
              <w:t>Iniciátor</w:t>
            </w:r>
          </w:p>
        </w:tc>
      </w:tr>
      <w:tr w:rsidR="00DA2914" w:rsidTr="00DA2914">
        <w:trPr>
          <w:trHeight w:val="300"/>
          <w:tblHeader/>
        </w:trPr>
        <w:tc>
          <w:tcPr>
            <w:tcW w:w="866" w:type="dxa"/>
            <w:tcBorders>
              <w:top w:val="nil"/>
              <w:left w:val="threeDEmboss" w:sz="24" w:space="0" w:color="auto"/>
              <w:bottom w:val="double" w:sz="4" w:space="0" w:color="auto"/>
              <w:right w:val="single" w:sz="6" w:space="0" w:color="auto"/>
            </w:tcBorders>
            <w:shd w:val="pct20" w:color="auto" w:fill="auto"/>
            <w:noWrap/>
            <w:vAlign w:val="bottom"/>
            <w:hideMark/>
          </w:tcPr>
          <w:p w:rsidR="00DA2914" w:rsidRDefault="00DA2914">
            <w:pPr>
              <w:spacing w:before="60" w:after="60" w:line="276" w:lineRule="auto"/>
              <w:jc w:val="center"/>
              <w:rPr>
                <w:b/>
                <w:bCs/>
                <w:color w:val="000000"/>
                <w:sz w:val="28"/>
                <w:szCs w:val="28"/>
                <w:lang w:eastAsia="en-US"/>
              </w:rPr>
            </w:pPr>
            <w:r>
              <w:rPr>
                <w:b/>
                <w:bCs/>
                <w:color w:val="000000"/>
                <w:sz w:val="28"/>
                <w:szCs w:val="28"/>
                <w:lang w:eastAsia="en-US"/>
              </w:rPr>
              <w:t>Číslo</w:t>
            </w:r>
          </w:p>
        </w:tc>
        <w:tc>
          <w:tcPr>
            <w:tcW w:w="1843" w:type="dxa"/>
            <w:tcBorders>
              <w:top w:val="nil"/>
              <w:left w:val="single" w:sz="6" w:space="0" w:color="auto"/>
              <w:bottom w:val="double" w:sz="4" w:space="0" w:color="auto"/>
              <w:right w:val="single" w:sz="6" w:space="0" w:color="auto"/>
            </w:tcBorders>
            <w:shd w:val="pct20" w:color="auto" w:fill="auto"/>
            <w:vAlign w:val="bottom"/>
            <w:hideMark/>
          </w:tcPr>
          <w:p w:rsidR="00DA2914" w:rsidRDefault="00DA2914">
            <w:pPr>
              <w:spacing w:before="60" w:after="60" w:line="276" w:lineRule="auto"/>
              <w:rPr>
                <w:b/>
                <w:bCs/>
                <w:color w:val="000000"/>
                <w:sz w:val="28"/>
                <w:szCs w:val="28"/>
                <w:lang w:eastAsia="en-US"/>
              </w:rPr>
            </w:pPr>
            <w:r>
              <w:rPr>
                <w:b/>
                <w:bCs/>
                <w:color w:val="000000"/>
                <w:sz w:val="28"/>
                <w:szCs w:val="28"/>
                <w:lang w:eastAsia="en-US"/>
              </w:rPr>
              <w:t>Název</w:t>
            </w:r>
          </w:p>
        </w:tc>
        <w:tc>
          <w:tcPr>
            <w:tcW w:w="2268" w:type="dxa"/>
            <w:tcBorders>
              <w:top w:val="nil"/>
              <w:left w:val="single" w:sz="6" w:space="0" w:color="auto"/>
              <w:bottom w:val="double" w:sz="4" w:space="0" w:color="auto"/>
              <w:right w:val="single" w:sz="6" w:space="0" w:color="auto"/>
            </w:tcBorders>
            <w:shd w:val="pct20" w:color="auto" w:fill="auto"/>
            <w:noWrap/>
            <w:vAlign w:val="bottom"/>
            <w:hideMark/>
          </w:tcPr>
          <w:p w:rsidR="00DA2914" w:rsidRDefault="00DA2914">
            <w:pPr>
              <w:spacing w:before="60" w:after="60" w:line="276" w:lineRule="auto"/>
              <w:rPr>
                <w:b/>
                <w:bCs/>
                <w:color w:val="000000"/>
                <w:sz w:val="28"/>
                <w:szCs w:val="28"/>
                <w:lang w:eastAsia="en-US"/>
              </w:rPr>
            </w:pPr>
            <w:r>
              <w:rPr>
                <w:b/>
                <w:bCs/>
                <w:color w:val="000000"/>
                <w:sz w:val="28"/>
                <w:szCs w:val="28"/>
                <w:lang w:eastAsia="en-US"/>
              </w:rPr>
              <w:t>Skupina</w:t>
            </w:r>
          </w:p>
        </w:tc>
        <w:tc>
          <w:tcPr>
            <w:tcW w:w="850" w:type="dxa"/>
            <w:tcBorders>
              <w:top w:val="single" w:sz="4" w:space="0" w:color="auto"/>
              <w:left w:val="single" w:sz="6" w:space="0" w:color="auto"/>
              <w:bottom w:val="double" w:sz="4" w:space="0" w:color="auto"/>
              <w:right w:val="single" w:sz="6" w:space="0" w:color="auto"/>
            </w:tcBorders>
            <w:shd w:val="pct20" w:color="auto" w:fill="auto"/>
            <w:vAlign w:val="bottom"/>
            <w:hideMark/>
          </w:tcPr>
          <w:p w:rsidR="00DA2914" w:rsidRDefault="00DA2914">
            <w:pPr>
              <w:spacing w:before="60" w:after="60" w:line="276" w:lineRule="auto"/>
              <w:jc w:val="center"/>
              <w:rPr>
                <w:b/>
                <w:bCs/>
                <w:color w:val="000000"/>
                <w:sz w:val="28"/>
                <w:szCs w:val="28"/>
                <w:lang w:eastAsia="en-US"/>
              </w:rPr>
            </w:pPr>
            <w:r>
              <w:rPr>
                <w:b/>
                <w:bCs/>
                <w:color w:val="000000"/>
                <w:sz w:val="28"/>
                <w:szCs w:val="28"/>
                <w:lang w:eastAsia="en-US"/>
              </w:rPr>
              <w:t>OSN</w:t>
            </w:r>
          </w:p>
        </w:tc>
        <w:tc>
          <w:tcPr>
            <w:tcW w:w="851" w:type="dxa"/>
            <w:tcBorders>
              <w:top w:val="single" w:sz="4" w:space="0" w:color="auto"/>
              <w:left w:val="single" w:sz="6" w:space="0" w:color="auto"/>
              <w:bottom w:val="double" w:sz="4" w:space="0" w:color="auto"/>
              <w:right w:val="single" w:sz="6" w:space="0" w:color="auto"/>
            </w:tcBorders>
            <w:shd w:val="pct20" w:color="auto" w:fill="auto"/>
            <w:noWrap/>
            <w:vAlign w:val="bottom"/>
            <w:hideMark/>
          </w:tcPr>
          <w:p w:rsidR="00DA2914" w:rsidRDefault="00DA2914">
            <w:pPr>
              <w:spacing w:before="60" w:after="60" w:line="276" w:lineRule="auto"/>
              <w:jc w:val="center"/>
              <w:rPr>
                <w:b/>
                <w:bCs/>
                <w:color w:val="000000"/>
                <w:sz w:val="28"/>
                <w:szCs w:val="28"/>
                <w:lang w:eastAsia="en-US"/>
              </w:rPr>
            </w:pPr>
            <w:r>
              <w:rPr>
                <w:b/>
                <w:bCs/>
                <w:color w:val="000000"/>
                <w:sz w:val="28"/>
                <w:szCs w:val="28"/>
                <w:lang w:eastAsia="en-US"/>
              </w:rPr>
              <w:t>EU</w:t>
            </w:r>
          </w:p>
        </w:tc>
        <w:tc>
          <w:tcPr>
            <w:tcW w:w="850" w:type="dxa"/>
            <w:tcBorders>
              <w:top w:val="single" w:sz="4" w:space="0" w:color="auto"/>
              <w:left w:val="single" w:sz="6" w:space="0" w:color="auto"/>
              <w:bottom w:val="double" w:sz="4" w:space="0" w:color="auto"/>
              <w:right w:val="threeDEmboss" w:sz="24" w:space="0" w:color="auto"/>
            </w:tcBorders>
            <w:shd w:val="pct20" w:color="auto" w:fill="auto"/>
            <w:noWrap/>
            <w:vAlign w:val="bottom"/>
            <w:hideMark/>
          </w:tcPr>
          <w:p w:rsidR="00DA2914" w:rsidRDefault="00DA2914">
            <w:pPr>
              <w:spacing w:before="60" w:after="60" w:line="276" w:lineRule="auto"/>
              <w:jc w:val="center"/>
              <w:rPr>
                <w:b/>
                <w:bCs/>
                <w:color w:val="000000"/>
                <w:sz w:val="28"/>
                <w:szCs w:val="28"/>
                <w:lang w:eastAsia="en-US"/>
              </w:rPr>
            </w:pPr>
            <w:r>
              <w:rPr>
                <w:b/>
                <w:bCs/>
                <w:color w:val="000000"/>
                <w:sz w:val="28"/>
                <w:szCs w:val="28"/>
                <w:lang w:eastAsia="en-US"/>
              </w:rPr>
              <w:t>EWS</w:t>
            </w:r>
          </w:p>
        </w:tc>
      </w:tr>
      <w:tr w:rsidR="00DA2914" w:rsidTr="00DA2914">
        <w:trPr>
          <w:trHeight w:val="285"/>
        </w:trPr>
        <w:tc>
          <w:tcPr>
            <w:tcW w:w="866" w:type="dxa"/>
            <w:tcBorders>
              <w:top w:val="double" w:sz="4" w:space="0" w:color="auto"/>
              <w:left w:val="threeDEmboss" w:sz="24" w:space="0" w:color="auto"/>
              <w:bottom w:val="single" w:sz="6" w:space="0" w:color="auto"/>
              <w:right w:val="single" w:sz="6" w:space="0" w:color="auto"/>
            </w:tcBorders>
            <w:noWrap/>
            <w:vAlign w:val="bottom"/>
            <w:hideMark/>
          </w:tcPr>
          <w:p w:rsidR="00DA2914" w:rsidRDefault="00DA2914">
            <w:pPr>
              <w:spacing w:before="60" w:after="60" w:line="276" w:lineRule="auto"/>
              <w:jc w:val="center"/>
              <w:rPr>
                <w:color w:val="000000"/>
                <w:szCs w:val="24"/>
                <w:lang w:eastAsia="en-US"/>
              </w:rPr>
            </w:pPr>
            <w:r>
              <w:rPr>
                <w:color w:val="000000"/>
                <w:szCs w:val="24"/>
                <w:lang w:eastAsia="en-US"/>
              </w:rPr>
              <w:t>1</w:t>
            </w:r>
          </w:p>
        </w:tc>
        <w:tc>
          <w:tcPr>
            <w:tcW w:w="1843" w:type="dxa"/>
            <w:tcBorders>
              <w:top w:val="double" w:sz="4" w:space="0" w:color="auto"/>
              <w:left w:val="single" w:sz="6" w:space="0" w:color="auto"/>
              <w:bottom w:val="single" w:sz="6" w:space="0" w:color="auto"/>
              <w:right w:val="single" w:sz="6" w:space="0" w:color="auto"/>
            </w:tcBorders>
            <w:noWrap/>
            <w:vAlign w:val="bottom"/>
            <w:hideMark/>
          </w:tcPr>
          <w:p w:rsidR="00DA2914" w:rsidRDefault="00DA2914">
            <w:pPr>
              <w:spacing w:before="60" w:after="60" w:line="276" w:lineRule="auto"/>
              <w:rPr>
                <w:color w:val="000000"/>
                <w:szCs w:val="24"/>
                <w:lang w:eastAsia="en-US"/>
              </w:rPr>
            </w:pPr>
            <w:r>
              <w:rPr>
                <w:color w:val="000000"/>
                <w:szCs w:val="24"/>
                <w:lang w:eastAsia="en-US"/>
              </w:rPr>
              <w:t>AH-7921</w:t>
            </w:r>
          </w:p>
        </w:tc>
        <w:tc>
          <w:tcPr>
            <w:tcW w:w="2268" w:type="dxa"/>
            <w:tcBorders>
              <w:top w:val="double" w:sz="4" w:space="0" w:color="auto"/>
              <w:left w:val="single" w:sz="6" w:space="0" w:color="auto"/>
              <w:bottom w:val="single" w:sz="6" w:space="0" w:color="auto"/>
              <w:right w:val="single" w:sz="6" w:space="0" w:color="auto"/>
            </w:tcBorders>
            <w:noWrap/>
            <w:vAlign w:val="bottom"/>
            <w:hideMark/>
          </w:tcPr>
          <w:p w:rsidR="00DA2914" w:rsidRDefault="00DA2914">
            <w:pPr>
              <w:spacing w:before="60" w:after="60" w:line="276" w:lineRule="auto"/>
              <w:rPr>
                <w:color w:val="000000"/>
                <w:szCs w:val="24"/>
                <w:lang w:eastAsia="en-US"/>
              </w:rPr>
            </w:pPr>
            <w:proofErr w:type="spellStart"/>
            <w:r>
              <w:rPr>
                <w:color w:val="000000"/>
                <w:szCs w:val="24"/>
                <w:lang w:eastAsia="en-US"/>
              </w:rPr>
              <w:t>Opioidy</w:t>
            </w:r>
            <w:proofErr w:type="spellEnd"/>
          </w:p>
        </w:tc>
        <w:tc>
          <w:tcPr>
            <w:tcW w:w="850" w:type="dxa"/>
            <w:tcBorders>
              <w:top w:val="double" w:sz="4" w:space="0" w:color="auto"/>
              <w:left w:val="single" w:sz="6" w:space="0" w:color="auto"/>
              <w:bottom w:val="single" w:sz="6" w:space="0" w:color="auto"/>
              <w:right w:val="single" w:sz="6" w:space="0" w:color="auto"/>
            </w:tcBorders>
            <w:vAlign w:val="bottom"/>
            <w:hideMark/>
          </w:tcPr>
          <w:p w:rsidR="00DA2914" w:rsidRDefault="00DA2914">
            <w:pPr>
              <w:spacing w:before="60" w:after="60" w:line="276" w:lineRule="auto"/>
              <w:jc w:val="center"/>
              <w:rPr>
                <w:color w:val="000000"/>
                <w:szCs w:val="24"/>
                <w:lang w:eastAsia="en-US"/>
              </w:rPr>
            </w:pPr>
            <w:r>
              <w:rPr>
                <w:color w:val="000000"/>
                <w:szCs w:val="24"/>
                <w:lang w:eastAsia="en-US"/>
              </w:rPr>
              <w:t>N</w:t>
            </w:r>
          </w:p>
        </w:tc>
        <w:tc>
          <w:tcPr>
            <w:tcW w:w="851" w:type="dxa"/>
            <w:tcBorders>
              <w:top w:val="double" w:sz="4" w:space="0" w:color="auto"/>
              <w:left w:val="single" w:sz="6" w:space="0" w:color="auto"/>
              <w:bottom w:val="single" w:sz="6" w:space="0" w:color="auto"/>
              <w:right w:val="single" w:sz="6" w:space="0" w:color="auto"/>
            </w:tcBorders>
            <w:noWrap/>
            <w:vAlign w:val="bottom"/>
            <w:hideMark/>
          </w:tcPr>
          <w:p w:rsidR="00DA2914" w:rsidRDefault="00DA2914">
            <w:pPr>
              <w:spacing w:before="60" w:after="60" w:line="276" w:lineRule="auto"/>
              <w:jc w:val="center"/>
              <w:rPr>
                <w:color w:val="000000"/>
                <w:szCs w:val="24"/>
                <w:lang w:eastAsia="en-US"/>
              </w:rPr>
            </w:pPr>
            <w:r>
              <w:rPr>
                <w:color w:val="000000"/>
                <w:szCs w:val="24"/>
                <w:lang w:eastAsia="en-US"/>
              </w:rPr>
              <w:t>X</w:t>
            </w:r>
          </w:p>
        </w:tc>
        <w:tc>
          <w:tcPr>
            <w:tcW w:w="850" w:type="dxa"/>
            <w:tcBorders>
              <w:top w:val="double" w:sz="4" w:space="0" w:color="auto"/>
              <w:left w:val="single" w:sz="6" w:space="0" w:color="auto"/>
              <w:bottom w:val="single" w:sz="6" w:space="0" w:color="auto"/>
              <w:right w:val="threeDEmboss" w:sz="24" w:space="0" w:color="auto"/>
            </w:tcBorders>
            <w:noWrap/>
            <w:vAlign w:val="bottom"/>
            <w:hideMark/>
          </w:tcPr>
          <w:p w:rsidR="00DA2914" w:rsidRDefault="00DA2914">
            <w:pPr>
              <w:spacing w:before="60" w:after="60" w:line="276" w:lineRule="auto"/>
              <w:jc w:val="center"/>
              <w:rPr>
                <w:color w:val="000000"/>
                <w:szCs w:val="24"/>
                <w:lang w:eastAsia="en-US"/>
              </w:rPr>
            </w:pPr>
            <w:r>
              <w:rPr>
                <w:color w:val="000000"/>
                <w:szCs w:val="24"/>
                <w:lang w:eastAsia="en-US"/>
              </w:rPr>
              <w:t>X</w:t>
            </w:r>
          </w:p>
        </w:tc>
      </w:tr>
      <w:tr w:rsidR="00DA2914" w:rsidTr="00DA2914">
        <w:trPr>
          <w:trHeight w:val="285"/>
        </w:trPr>
        <w:tc>
          <w:tcPr>
            <w:tcW w:w="866" w:type="dxa"/>
            <w:tcBorders>
              <w:top w:val="single" w:sz="6" w:space="0" w:color="auto"/>
              <w:left w:val="threeDEmboss" w:sz="24" w:space="0" w:color="auto"/>
              <w:bottom w:val="single" w:sz="6" w:space="0" w:color="auto"/>
              <w:right w:val="single" w:sz="6" w:space="0" w:color="auto"/>
            </w:tcBorders>
            <w:noWrap/>
            <w:vAlign w:val="bottom"/>
            <w:hideMark/>
          </w:tcPr>
          <w:p w:rsidR="00DA2914" w:rsidRDefault="00DA2914">
            <w:pPr>
              <w:spacing w:before="60" w:after="60" w:line="276" w:lineRule="auto"/>
              <w:jc w:val="center"/>
              <w:rPr>
                <w:color w:val="000000"/>
                <w:szCs w:val="24"/>
                <w:lang w:eastAsia="en-US"/>
              </w:rPr>
            </w:pPr>
            <w:r>
              <w:rPr>
                <w:color w:val="000000"/>
                <w:szCs w:val="24"/>
                <w:lang w:eastAsia="en-US"/>
              </w:rPr>
              <w:t>2</w:t>
            </w:r>
          </w:p>
        </w:tc>
        <w:tc>
          <w:tcPr>
            <w:tcW w:w="1843" w:type="dxa"/>
            <w:tcBorders>
              <w:top w:val="single" w:sz="6" w:space="0" w:color="auto"/>
              <w:left w:val="single" w:sz="6" w:space="0" w:color="auto"/>
              <w:bottom w:val="single" w:sz="6" w:space="0" w:color="auto"/>
              <w:right w:val="single" w:sz="6" w:space="0" w:color="auto"/>
            </w:tcBorders>
            <w:noWrap/>
            <w:vAlign w:val="bottom"/>
            <w:hideMark/>
          </w:tcPr>
          <w:p w:rsidR="00DA2914" w:rsidRDefault="00DA2914">
            <w:pPr>
              <w:spacing w:before="60" w:after="60" w:line="276" w:lineRule="auto"/>
              <w:rPr>
                <w:color w:val="000000"/>
                <w:szCs w:val="24"/>
                <w:lang w:eastAsia="en-US"/>
              </w:rPr>
            </w:pPr>
            <w:r>
              <w:rPr>
                <w:color w:val="000000"/>
                <w:szCs w:val="24"/>
                <w:lang w:eastAsia="en-US"/>
              </w:rPr>
              <w:t>APINACA</w:t>
            </w:r>
          </w:p>
        </w:tc>
        <w:tc>
          <w:tcPr>
            <w:tcW w:w="2268" w:type="dxa"/>
            <w:tcBorders>
              <w:top w:val="single" w:sz="6" w:space="0" w:color="auto"/>
              <w:left w:val="single" w:sz="6" w:space="0" w:color="auto"/>
              <w:bottom w:val="single" w:sz="6" w:space="0" w:color="auto"/>
              <w:right w:val="single" w:sz="6" w:space="0" w:color="auto"/>
            </w:tcBorders>
            <w:noWrap/>
            <w:vAlign w:val="bottom"/>
            <w:hideMark/>
          </w:tcPr>
          <w:p w:rsidR="00DA2914" w:rsidRDefault="00DA2914">
            <w:pPr>
              <w:spacing w:before="60" w:after="60" w:line="276" w:lineRule="auto"/>
              <w:rPr>
                <w:color w:val="000000"/>
                <w:szCs w:val="24"/>
                <w:lang w:eastAsia="en-US"/>
              </w:rPr>
            </w:pPr>
            <w:proofErr w:type="spellStart"/>
            <w:r>
              <w:rPr>
                <w:color w:val="000000"/>
                <w:szCs w:val="24"/>
                <w:lang w:eastAsia="en-US"/>
              </w:rPr>
              <w:t>Kanabinoidy</w:t>
            </w:r>
            <w:proofErr w:type="spellEnd"/>
          </w:p>
        </w:tc>
        <w:tc>
          <w:tcPr>
            <w:tcW w:w="850" w:type="dxa"/>
            <w:tcBorders>
              <w:top w:val="single" w:sz="6" w:space="0" w:color="auto"/>
              <w:left w:val="single" w:sz="6" w:space="0" w:color="auto"/>
              <w:bottom w:val="single" w:sz="6" w:space="0" w:color="auto"/>
              <w:right w:val="single" w:sz="6" w:space="0" w:color="auto"/>
            </w:tcBorders>
            <w:vAlign w:val="bottom"/>
          </w:tcPr>
          <w:p w:rsidR="00DA2914" w:rsidRDefault="00DA2914">
            <w:pPr>
              <w:spacing w:before="60" w:after="60" w:line="276" w:lineRule="auto"/>
              <w:jc w:val="center"/>
              <w:rPr>
                <w:color w:val="000000"/>
                <w:szCs w:val="24"/>
                <w:lang w:eastAsia="en-US"/>
              </w:rPr>
            </w:pP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DA2914" w:rsidRDefault="00DA2914">
            <w:pPr>
              <w:spacing w:line="276" w:lineRule="auto"/>
              <w:jc w:val="left"/>
              <w:rPr>
                <w:rFonts w:asciiTheme="minorHAnsi" w:eastAsiaTheme="minorHAnsi" w:hAnsiTheme="minorHAnsi"/>
                <w:sz w:val="22"/>
                <w:szCs w:val="22"/>
                <w:lang w:eastAsia="en-US"/>
              </w:rPr>
            </w:pPr>
          </w:p>
        </w:tc>
        <w:tc>
          <w:tcPr>
            <w:tcW w:w="850" w:type="dxa"/>
            <w:tcBorders>
              <w:top w:val="single" w:sz="6" w:space="0" w:color="auto"/>
              <w:left w:val="single" w:sz="6" w:space="0" w:color="auto"/>
              <w:bottom w:val="single" w:sz="6" w:space="0" w:color="auto"/>
              <w:right w:val="threeDEmboss" w:sz="24" w:space="0" w:color="auto"/>
            </w:tcBorders>
            <w:noWrap/>
            <w:vAlign w:val="bottom"/>
            <w:hideMark/>
          </w:tcPr>
          <w:p w:rsidR="00DA2914" w:rsidRDefault="00DA2914">
            <w:pPr>
              <w:spacing w:before="60" w:after="60" w:line="276" w:lineRule="auto"/>
              <w:jc w:val="center"/>
              <w:rPr>
                <w:color w:val="000000"/>
                <w:szCs w:val="24"/>
                <w:lang w:eastAsia="en-US"/>
              </w:rPr>
            </w:pPr>
            <w:r>
              <w:rPr>
                <w:color w:val="000000"/>
                <w:szCs w:val="24"/>
                <w:lang w:eastAsia="en-US"/>
              </w:rPr>
              <w:t>X</w:t>
            </w:r>
          </w:p>
        </w:tc>
      </w:tr>
      <w:tr w:rsidR="00DA2914" w:rsidTr="00DA2914">
        <w:trPr>
          <w:trHeight w:val="285"/>
        </w:trPr>
        <w:tc>
          <w:tcPr>
            <w:tcW w:w="866" w:type="dxa"/>
            <w:tcBorders>
              <w:top w:val="single" w:sz="6" w:space="0" w:color="auto"/>
              <w:left w:val="threeDEmboss" w:sz="24" w:space="0" w:color="auto"/>
              <w:bottom w:val="single" w:sz="6" w:space="0" w:color="auto"/>
              <w:right w:val="single" w:sz="6" w:space="0" w:color="auto"/>
            </w:tcBorders>
            <w:noWrap/>
            <w:vAlign w:val="bottom"/>
            <w:hideMark/>
          </w:tcPr>
          <w:p w:rsidR="00DA2914" w:rsidRDefault="00DA2914">
            <w:pPr>
              <w:spacing w:before="60" w:after="60" w:line="276" w:lineRule="auto"/>
              <w:jc w:val="center"/>
              <w:rPr>
                <w:color w:val="000000"/>
                <w:szCs w:val="24"/>
                <w:lang w:eastAsia="en-US"/>
              </w:rPr>
            </w:pPr>
            <w:r>
              <w:rPr>
                <w:color w:val="000000"/>
                <w:szCs w:val="24"/>
                <w:lang w:eastAsia="en-US"/>
              </w:rPr>
              <w:t>3</w:t>
            </w:r>
          </w:p>
        </w:tc>
        <w:tc>
          <w:tcPr>
            <w:tcW w:w="1843" w:type="dxa"/>
            <w:tcBorders>
              <w:top w:val="single" w:sz="6" w:space="0" w:color="auto"/>
              <w:left w:val="single" w:sz="6" w:space="0" w:color="auto"/>
              <w:bottom w:val="single" w:sz="6" w:space="0" w:color="auto"/>
              <w:right w:val="single" w:sz="6" w:space="0" w:color="auto"/>
            </w:tcBorders>
            <w:noWrap/>
            <w:vAlign w:val="bottom"/>
            <w:hideMark/>
          </w:tcPr>
          <w:p w:rsidR="00DA2914" w:rsidRDefault="00DA2914">
            <w:pPr>
              <w:spacing w:before="60" w:after="60" w:line="276" w:lineRule="auto"/>
              <w:rPr>
                <w:color w:val="000000"/>
                <w:szCs w:val="24"/>
                <w:lang w:eastAsia="en-US"/>
              </w:rPr>
            </w:pPr>
            <w:r>
              <w:rPr>
                <w:color w:val="000000"/>
                <w:szCs w:val="24"/>
                <w:lang w:eastAsia="en-US"/>
              </w:rPr>
              <w:t>25B-NBOMe</w:t>
            </w:r>
          </w:p>
        </w:tc>
        <w:tc>
          <w:tcPr>
            <w:tcW w:w="2268" w:type="dxa"/>
            <w:tcBorders>
              <w:top w:val="single" w:sz="6" w:space="0" w:color="auto"/>
              <w:left w:val="single" w:sz="6" w:space="0" w:color="auto"/>
              <w:bottom w:val="single" w:sz="6" w:space="0" w:color="auto"/>
              <w:right w:val="single" w:sz="6" w:space="0" w:color="auto"/>
            </w:tcBorders>
            <w:noWrap/>
            <w:vAlign w:val="bottom"/>
            <w:hideMark/>
          </w:tcPr>
          <w:p w:rsidR="00DA2914" w:rsidRDefault="00DA2914">
            <w:pPr>
              <w:spacing w:before="60" w:after="60" w:line="276" w:lineRule="auto"/>
              <w:rPr>
                <w:color w:val="000000"/>
                <w:szCs w:val="24"/>
                <w:lang w:eastAsia="en-US"/>
              </w:rPr>
            </w:pPr>
            <w:proofErr w:type="spellStart"/>
            <w:r>
              <w:rPr>
                <w:color w:val="000000"/>
                <w:szCs w:val="24"/>
                <w:lang w:eastAsia="en-US"/>
              </w:rPr>
              <w:t>Fenetylaminy</w:t>
            </w:r>
            <w:proofErr w:type="spellEnd"/>
          </w:p>
        </w:tc>
        <w:tc>
          <w:tcPr>
            <w:tcW w:w="850" w:type="dxa"/>
            <w:tcBorders>
              <w:top w:val="single" w:sz="6" w:space="0" w:color="auto"/>
              <w:left w:val="single" w:sz="6" w:space="0" w:color="auto"/>
              <w:bottom w:val="single" w:sz="6" w:space="0" w:color="auto"/>
              <w:right w:val="single" w:sz="6" w:space="0" w:color="auto"/>
            </w:tcBorders>
            <w:vAlign w:val="bottom"/>
            <w:hideMark/>
          </w:tcPr>
          <w:p w:rsidR="00DA2914" w:rsidRDefault="00DA2914">
            <w:pPr>
              <w:spacing w:before="60" w:after="60" w:line="276" w:lineRule="auto"/>
              <w:jc w:val="center"/>
              <w:rPr>
                <w:color w:val="000000"/>
                <w:szCs w:val="24"/>
                <w:lang w:eastAsia="en-US"/>
              </w:rPr>
            </w:pPr>
            <w:r>
              <w:rPr>
                <w:color w:val="000000"/>
                <w:szCs w:val="24"/>
                <w:lang w:eastAsia="en-US"/>
              </w:rPr>
              <w:t>N</w:t>
            </w:r>
          </w:p>
        </w:tc>
        <w:tc>
          <w:tcPr>
            <w:tcW w:w="851" w:type="dxa"/>
            <w:tcBorders>
              <w:top w:val="single" w:sz="6" w:space="0" w:color="auto"/>
              <w:left w:val="single" w:sz="6" w:space="0" w:color="auto"/>
              <w:bottom w:val="single" w:sz="6" w:space="0" w:color="auto"/>
              <w:right w:val="single" w:sz="6" w:space="0" w:color="auto"/>
            </w:tcBorders>
            <w:noWrap/>
            <w:vAlign w:val="bottom"/>
          </w:tcPr>
          <w:p w:rsidR="00DA2914" w:rsidRDefault="00DA2914">
            <w:pPr>
              <w:spacing w:before="60" w:after="60" w:line="276" w:lineRule="auto"/>
              <w:jc w:val="center"/>
              <w:rPr>
                <w:color w:val="000000"/>
                <w:szCs w:val="24"/>
                <w:lang w:eastAsia="en-US"/>
              </w:rPr>
            </w:pPr>
          </w:p>
        </w:tc>
        <w:tc>
          <w:tcPr>
            <w:tcW w:w="850" w:type="dxa"/>
            <w:tcBorders>
              <w:top w:val="single" w:sz="6" w:space="0" w:color="auto"/>
              <w:left w:val="single" w:sz="6" w:space="0" w:color="auto"/>
              <w:bottom w:val="single" w:sz="6" w:space="0" w:color="auto"/>
              <w:right w:val="threeDEmboss" w:sz="24" w:space="0" w:color="auto"/>
            </w:tcBorders>
            <w:noWrap/>
            <w:vAlign w:val="bottom"/>
          </w:tcPr>
          <w:p w:rsidR="00DA2914" w:rsidRDefault="00DA2914">
            <w:pPr>
              <w:spacing w:before="60" w:after="60" w:line="276" w:lineRule="auto"/>
              <w:jc w:val="center"/>
              <w:rPr>
                <w:color w:val="000000"/>
                <w:szCs w:val="24"/>
                <w:lang w:eastAsia="en-US"/>
              </w:rPr>
            </w:pPr>
          </w:p>
        </w:tc>
      </w:tr>
      <w:tr w:rsidR="00DA2914" w:rsidTr="00DA2914">
        <w:trPr>
          <w:trHeight w:val="285"/>
        </w:trPr>
        <w:tc>
          <w:tcPr>
            <w:tcW w:w="866" w:type="dxa"/>
            <w:tcBorders>
              <w:top w:val="single" w:sz="6" w:space="0" w:color="auto"/>
              <w:left w:val="threeDEmboss" w:sz="24" w:space="0" w:color="auto"/>
              <w:bottom w:val="single" w:sz="6" w:space="0" w:color="auto"/>
              <w:right w:val="single" w:sz="6" w:space="0" w:color="auto"/>
            </w:tcBorders>
            <w:noWrap/>
            <w:vAlign w:val="bottom"/>
            <w:hideMark/>
          </w:tcPr>
          <w:p w:rsidR="00DA2914" w:rsidRDefault="00DA2914">
            <w:pPr>
              <w:spacing w:before="60" w:after="60" w:line="276" w:lineRule="auto"/>
              <w:jc w:val="center"/>
              <w:rPr>
                <w:color w:val="000000"/>
                <w:szCs w:val="24"/>
                <w:lang w:eastAsia="en-US"/>
              </w:rPr>
            </w:pPr>
            <w:r>
              <w:rPr>
                <w:color w:val="000000"/>
                <w:szCs w:val="24"/>
                <w:lang w:eastAsia="en-US"/>
              </w:rPr>
              <w:t>4</w:t>
            </w:r>
          </w:p>
        </w:tc>
        <w:tc>
          <w:tcPr>
            <w:tcW w:w="1843" w:type="dxa"/>
            <w:tcBorders>
              <w:top w:val="single" w:sz="6" w:space="0" w:color="auto"/>
              <w:left w:val="single" w:sz="6" w:space="0" w:color="auto"/>
              <w:bottom w:val="single" w:sz="6" w:space="0" w:color="auto"/>
              <w:right w:val="single" w:sz="6" w:space="0" w:color="auto"/>
            </w:tcBorders>
            <w:noWrap/>
            <w:vAlign w:val="bottom"/>
            <w:hideMark/>
          </w:tcPr>
          <w:p w:rsidR="00DA2914" w:rsidRDefault="00DA2914">
            <w:pPr>
              <w:spacing w:before="60" w:after="60" w:line="276" w:lineRule="auto"/>
              <w:rPr>
                <w:color w:val="000000"/>
                <w:szCs w:val="24"/>
                <w:lang w:eastAsia="en-US"/>
              </w:rPr>
            </w:pPr>
            <w:r>
              <w:rPr>
                <w:color w:val="000000"/>
                <w:szCs w:val="24"/>
                <w:lang w:eastAsia="en-US"/>
              </w:rPr>
              <w:t>25C-NBOMe</w:t>
            </w:r>
          </w:p>
        </w:tc>
        <w:tc>
          <w:tcPr>
            <w:tcW w:w="2268" w:type="dxa"/>
            <w:tcBorders>
              <w:top w:val="single" w:sz="6" w:space="0" w:color="auto"/>
              <w:left w:val="single" w:sz="6" w:space="0" w:color="auto"/>
              <w:bottom w:val="single" w:sz="6" w:space="0" w:color="auto"/>
              <w:right w:val="single" w:sz="6" w:space="0" w:color="auto"/>
            </w:tcBorders>
            <w:noWrap/>
            <w:vAlign w:val="bottom"/>
            <w:hideMark/>
          </w:tcPr>
          <w:p w:rsidR="00DA2914" w:rsidRDefault="00DA2914">
            <w:pPr>
              <w:spacing w:before="60" w:after="60" w:line="276" w:lineRule="auto"/>
              <w:rPr>
                <w:color w:val="000000"/>
                <w:szCs w:val="24"/>
                <w:lang w:eastAsia="en-US"/>
              </w:rPr>
            </w:pPr>
            <w:proofErr w:type="spellStart"/>
            <w:r>
              <w:rPr>
                <w:color w:val="000000"/>
                <w:szCs w:val="24"/>
                <w:lang w:eastAsia="en-US"/>
              </w:rPr>
              <w:t>Fenetylaminy</w:t>
            </w:r>
            <w:proofErr w:type="spellEnd"/>
          </w:p>
        </w:tc>
        <w:tc>
          <w:tcPr>
            <w:tcW w:w="850" w:type="dxa"/>
            <w:tcBorders>
              <w:top w:val="single" w:sz="6" w:space="0" w:color="auto"/>
              <w:left w:val="single" w:sz="6" w:space="0" w:color="auto"/>
              <w:bottom w:val="single" w:sz="6" w:space="0" w:color="auto"/>
              <w:right w:val="single" w:sz="6" w:space="0" w:color="auto"/>
            </w:tcBorders>
            <w:vAlign w:val="bottom"/>
            <w:hideMark/>
          </w:tcPr>
          <w:p w:rsidR="00DA2914" w:rsidRDefault="00DA2914">
            <w:pPr>
              <w:spacing w:before="60" w:after="60" w:line="276" w:lineRule="auto"/>
              <w:jc w:val="center"/>
              <w:rPr>
                <w:color w:val="000000"/>
                <w:szCs w:val="24"/>
                <w:lang w:eastAsia="en-US"/>
              </w:rPr>
            </w:pPr>
            <w:r>
              <w:rPr>
                <w:color w:val="000000"/>
                <w:szCs w:val="24"/>
                <w:lang w:eastAsia="en-US"/>
              </w:rPr>
              <w:t>N</w:t>
            </w:r>
          </w:p>
        </w:tc>
        <w:tc>
          <w:tcPr>
            <w:tcW w:w="851" w:type="dxa"/>
            <w:tcBorders>
              <w:top w:val="single" w:sz="6" w:space="0" w:color="auto"/>
              <w:left w:val="single" w:sz="6" w:space="0" w:color="auto"/>
              <w:bottom w:val="single" w:sz="6" w:space="0" w:color="auto"/>
              <w:right w:val="single" w:sz="6" w:space="0" w:color="auto"/>
            </w:tcBorders>
            <w:noWrap/>
            <w:vAlign w:val="bottom"/>
          </w:tcPr>
          <w:p w:rsidR="00DA2914" w:rsidRDefault="00DA2914">
            <w:pPr>
              <w:spacing w:before="60" w:after="60" w:line="276" w:lineRule="auto"/>
              <w:jc w:val="center"/>
              <w:rPr>
                <w:color w:val="000000"/>
                <w:szCs w:val="24"/>
                <w:lang w:eastAsia="en-US"/>
              </w:rPr>
            </w:pPr>
          </w:p>
        </w:tc>
        <w:tc>
          <w:tcPr>
            <w:tcW w:w="850" w:type="dxa"/>
            <w:tcBorders>
              <w:top w:val="single" w:sz="6" w:space="0" w:color="auto"/>
              <w:left w:val="single" w:sz="6" w:space="0" w:color="auto"/>
              <w:bottom w:val="single" w:sz="6" w:space="0" w:color="auto"/>
              <w:right w:val="threeDEmboss" w:sz="24" w:space="0" w:color="auto"/>
            </w:tcBorders>
            <w:noWrap/>
            <w:vAlign w:val="bottom"/>
          </w:tcPr>
          <w:p w:rsidR="00DA2914" w:rsidRDefault="00DA2914">
            <w:pPr>
              <w:spacing w:before="60" w:after="60" w:line="276" w:lineRule="auto"/>
              <w:jc w:val="center"/>
              <w:rPr>
                <w:color w:val="000000"/>
                <w:szCs w:val="24"/>
                <w:lang w:eastAsia="en-US"/>
              </w:rPr>
            </w:pPr>
          </w:p>
        </w:tc>
      </w:tr>
      <w:tr w:rsidR="00DA2914" w:rsidTr="00DA2914">
        <w:trPr>
          <w:trHeight w:val="285"/>
        </w:trPr>
        <w:tc>
          <w:tcPr>
            <w:tcW w:w="866" w:type="dxa"/>
            <w:tcBorders>
              <w:top w:val="single" w:sz="6" w:space="0" w:color="auto"/>
              <w:left w:val="threeDEmboss" w:sz="24" w:space="0" w:color="auto"/>
              <w:bottom w:val="single" w:sz="6" w:space="0" w:color="auto"/>
              <w:right w:val="single" w:sz="6" w:space="0" w:color="auto"/>
            </w:tcBorders>
            <w:noWrap/>
            <w:vAlign w:val="bottom"/>
            <w:hideMark/>
          </w:tcPr>
          <w:p w:rsidR="00DA2914" w:rsidRDefault="00DA2914">
            <w:pPr>
              <w:spacing w:before="60" w:after="60" w:line="276" w:lineRule="auto"/>
              <w:jc w:val="center"/>
              <w:rPr>
                <w:color w:val="000000"/>
                <w:szCs w:val="24"/>
                <w:lang w:eastAsia="en-US"/>
              </w:rPr>
            </w:pPr>
            <w:r>
              <w:rPr>
                <w:color w:val="000000"/>
                <w:szCs w:val="24"/>
                <w:lang w:eastAsia="en-US"/>
              </w:rPr>
              <w:t>5</w:t>
            </w:r>
          </w:p>
        </w:tc>
        <w:tc>
          <w:tcPr>
            <w:tcW w:w="1843" w:type="dxa"/>
            <w:tcBorders>
              <w:top w:val="single" w:sz="6" w:space="0" w:color="auto"/>
              <w:left w:val="single" w:sz="6" w:space="0" w:color="auto"/>
              <w:bottom w:val="single" w:sz="6" w:space="0" w:color="auto"/>
              <w:right w:val="single" w:sz="6" w:space="0" w:color="auto"/>
            </w:tcBorders>
            <w:noWrap/>
            <w:vAlign w:val="bottom"/>
            <w:hideMark/>
          </w:tcPr>
          <w:p w:rsidR="00DA2914" w:rsidRDefault="00DA2914">
            <w:pPr>
              <w:spacing w:before="60" w:after="60" w:line="276" w:lineRule="auto"/>
              <w:rPr>
                <w:color w:val="000000"/>
                <w:szCs w:val="24"/>
                <w:lang w:eastAsia="en-US"/>
              </w:rPr>
            </w:pPr>
            <w:r>
              <w:rPr>
                <w:color w:val="000000"/>
                <w:szCs w:val="24"/>
                <w:lang w:eastAsia="en-US"/>
              </w:rPr>
              <w:t>4,4'-DMAR</w:t>
            </w:r>
          </w:p>
        </w:tc>
        <w:tc>
          <w:tcPr>
            <w:tcW w:w="2268" w:type="dxa"/>
            <w:tcBorders>
              <w:top w:val="single" w:sz="6" w:space="0" w:color="auto"/>
              <w:left w:val="single" w:sz="6" w:space="0" w:color="auto"/>
              <w:bottom w:val="single" w:sz="6" w:space="0" w:color="auto"/>
              <w:right w:val="single" w:sz="6" w:space="0" w:color="auto"/>
            </w:tcBorders>
            <w:noWrap/>
            <w:vAlign w:val="bottom"/>
            <w:hideMark/>
          </w:tcPr>
          <w:p w:rsidR="00DA2914" w:rsidRDefault="00DA2914">
            <w:pPr>
              <w:spacing w:before="60" w:after="60" w:line="276" w:lineRule="auto"/>
              <w:rPr>
                <w:color w:val="000000"/>
                <w:szCs w:val="24"/>
                <w:lang w:eastAsia="en-US"/>
              </w:rPr>
            </w:pPr>
            <w:r>
              <w:rPr>
                <w:color w:val="000000"/>
                <w:szCs w:val="24"/>
                <w:lang w:eastAsia="en-US"/>
              </w:rPr>
              <w:t>Ostatní</w:t>
            </w:r>
          </w:p>
        </w:tc>
        <w:tc>
          <w:tcPr>
            <w:tcW w:w="850" w:type="dxa"/>
            <w:tcBorders>
              <w:top w:val="single" w:sz="6" w:space="0" w:color="auto"/>
              <w:left w:val="single" w:sz="6" w:space="0" w:color="auto"/>
              <w:bottom w:val="single" w:sz="6" w:space="0" w:color="auto"/>
              <w:right w:val="single" w:sz="6" w:space="0" w:color="auto"/>
            </w:tcBorders>
            <w:vAlign w:val="bottom"/>
          </w:tcPr>
          <w:p w:rsidR="00DA2914" w:rsidRDefault="00DA2914">
            <w:pPr>
              <w:spacing w:before="60" w:after="60" w:line="276" w:lineRule="auto"/>
              <w:jc w:val="center"/>
              <w:rPr>
                <w:color w:val="000000"/>
                <w:szCs w:val="24"/>
                <w:lang w:eastAsia="en-US"/>
              </w:rPr>
            </w:pP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DA2914" w:rsidRDefault="00DA2914">
            <w:pPr>
              <w:spacing w:before="60" w:after="60" w:line="276" w:lineRule="auto"/>
              <w:jc w:val="center"/>
              <w:rPr>
                <w:color w:val="000000"/>
                <w:szCs w:val="24"/>
                <w:lang w:eastAsia="en-US"/>
              </w:rPr>
            </w:pPr>
            <w:r>
              <w:rPr>
                <w:color w:val="000000"/>
                <w:szCs w:val="24"/>
                <w:lang w:eastAsia="en-US"/>
              </w:rPr>
              <w:t>N</w:t>
            </w:r>
          </w:p>
        </w:tc>
        <w:tc>
          <w:tcPr>
            <w:tcW w:w="850" w:type="dxa"/>
            <w:tcBorders>
              <w:top w:val="single" w:sz="6" w:space="0" w:color="auto"/>
              <w:left w:val="single" w:sz="6" w:space="0" w:color="auto"/>
              <w:bottom w:val="single" w:sz="6" w:space="0" w:color="auto"/>
              <w:right w:val="threeDEmboss" w:sz="24" w:space="0" w:color="auto"/>
            </w:tcBorders>
            <w:noWrap/>
            <w:vAlign w:val="bottom"/>
            <w:hideMark/>
          </w:tcPr>
          <w:p w:rsidR="00DA2914" w:rsidRDefault="00DA2914">
            <w:pPr>
              <w:spacing w:before="60" w:after="60" w:line="276" w:lineRule="auto"/>
              <w:jc w:val="center"/>
              <w:rPr>
                <w:color w:val="000000"/>
                <w:szCs w:val="24"/>
                <w:lang w:eastAsia="en-US"/>
              </w:rPr>
            </w:pPr>
            <w:r>
              <w:rPr>
                <w:color w:val="000000"/>
                <w:szCs w:val="24"/>
                <w:lang w:eastAsia="en-US"/>
              </w:rPr>
              <w:t>X</w:t>
            </w:r>
          </w:p>
        </w:tc>
      </w:tr>
      <w:tr w:rsidR="00DA2914" w:rsidTr="00DA2914">
        <w:trPr>
          <w:trHeight w:val="285"/>
        </w:trPr>
        <w:tc>
          <w:tcPr>
            <w:tcW w:w="866" w:type="dxa"/>
            <w:tcBorders>
              <w:top w:val="single" w:sz="6" w:space="0" w:color="auto"/>
              <w:left w:val="threeDEmboss" w:sz="24" w:space="0" w:color="auto"/>
              <w:bottom w:val="single" w:sz="6" w:space="0" w:color="auto"/>
              <w:right w:val="single" w:sz="6" w:space="0" w:color="auto"/>
            </w:tcBorders>
            <w:noWrap/>
            <w:vAlign w:val="bottom"/>
            <w:hideMark/>
          </w:tcPr>
          <w:p w:rsidR="00DA2914" w:rsidRDefault="00DA2914">
            <w:pPr>
              <w:spacing w:before="60" w:after="60" w:line="276" w:lineRule="auto"/>
              <w:jc w:val="center"/>
              <w:rPr>
                <w:color w:val="000000"/>
                <w:szCs w:val="24"/>
                <w:lang w:eastAsia="en-US"/>
              </w:rPr>
            </w:pPr>
            <w:r>
              <w:rPr>
                <w:color w:val="000000"/>
                <w:szCs w:val="24"/>
                <w:lang w:eastAsia="en-US"/>
              </w:rPr>
              <w:t>6</w:t>
            </w:r>
          </w:p>
        </w:tc>
        <w:tc>
          <w:tcPr>
            <w:tcW w:w="1843" w:type="dxa"/>
            <w:tcBorders>
              <w:top w:val="single" w:sz="6" w:space="0" w:color="auto"/>
              <w:left w:val="single" w:sz="6" w:space="0" w:color="auto"/>
              <w:bottom w:val="single" w:sz="6" w:space="0" w:color="auto"/>
              <w:right w:val="single" w:sz="6" w:space="0" w:color="auto"/>
            </w:tcBorders>
            <w:noWrap/>
            <w:vAlign w:val="bottom"/>
            <w:hideMark/>
          </w:tcPr>
          <w:p w:rsidR="00DA2914" w:rsidRDefault="00DA2914">
            <w:pPr>
              <w:spacing w:before="60" w:after="60" w:line="276" w:lineRule="auto"/>
              <w:rPr>
                <w:color w:val="000000"/>
                <w:szCs w:val="24"/>
                <w:lang w:eastAsia="en-US"/>
              </w:rPr>
            </w:pPr>
            <w:r>
              <w:rPr>
                <w:color w:val="000000"/>
                <w:szCs w:val="24"/>
                <w:lang w:eastAsia="en-US"/>
              </w:rPr>
              <w:t>3,4-DMMC</w:t>
            </w:r>
          </w:p>
        </w:tc>
        <w:tc>
          <w:tcPr>
            <w:tcW w:w="2268" w:type="dxa"/>
            <w:tcBorders>
              <w:top w:val="single" w:sz="6" w:space="0" w:color="auto"/>
              <w:left w:val="single" w:sz="6" w:space="0" w:color="auto"/>
              <w:bottom w:val="single" w:sz="6" w:space="0" w:color="auto"/>
              <w:right w:val="single" w:sz="6" w:space="0" w:color="auto"/>
            </w:tcBorders>
            <w:noWrap/>
            <w:vAlign w:val="bottom"/>
            <w:hideMark/>
          </w:tcPr>
          <w:p w:rsidR="00DA2914" w:rsidRDefault="00DA2914">
            <w:pPr>
              <w:spacing w:before="60" w:after="60" w:line="276" w:lineRule="auto"/>
              <w:rPr>
                <w:color w:val="000000"/>
                <w:szCs w:val="24"/>
                <w:lang w:eastAsia="en-US"/>
              </w:rPr>
            </w:pPr>
            <w:proofErr w:type="spellStart"/>
            <w:r>
              <w:rPr>
                <w:color w:val="000000"/>
                <w:szCs w:val="24"/>
                <w:lang w:eastAsia="en-US"/>
              </w:rPr>
              <w:t>Katinony</w:t>
            </w:r>
            <w:proofErr w:type="spellEnd"/>
          </w:p>
        </w:tc>
        <w:tc>
          <w:tcPr>
            <w:tcW w:w="850" w:type="dxa"/>
            <w:tcBorders>
              <w:top w:val="single" w:sz="6" w:space="0" w:color="auto"/>
              <w:left w:val="single" w:sz="6" w:space="0" w:color="auto"/>
              <w:bottom w:val="single" w:sz="6" w:space="0" w:color="auto"/>
              <w:right w:val="single" w:sz="6" w:space="0" w:color="auto"/>
            </w:tcBorders>
            <w:vAlign w:val="bottom"/>
          </w:tcPr>
          <w:p w:rsidR="00DA2914" w:rsidRDefault="00DA2914">
            <w:pPr>
              <w:spacing w:before="60" w:after="60" w:line="276" w:lineRule="auto"/>
              <w:jc w:val="center"/>
              <w:rPr>
                <w:color w:val="000000"/>
                <w:szCs w:val="24"/>
                <w:lang w:eastAsia="en-US"/>
              </w:rPr>
            </w:pP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DA2914" w:rsidRDefault="00DA2914">
            <w:pPr>
              <w:spacing w:line="276" w:lineRule="auto"/>
              <w:jc w:val="left"/>
              <w:rPr>
                <w:rFonts w:asciiTheme="minorHAnsi" w:eastAsiaTheme="minorHAnsi" w:hAnsiTheme="minorHAnsi"/>
                <w:sz w:val="22"/>
                <w:szCs w:val="22"/>
                <w:lang w:eastAsia="en-US"/>
              </w:rPr>
            </w:pPr>
          </w:p>
        </w:tc>
        <w:tc>
          <w:tcPr>
            <w:tcW w:w="850" w:type="dxa"/>
            <w:tcBorders>
              <w:top w:val="single" w:sz="6" w:space="0" w:color="auto"/>
              <w:left w:val="single" w:sz="6" w:space="0" w:color="auto"/>
              <w:bottom w:val="single" w:sz="6" w:space="0" w:color="auto"/>
              <w:right w:val="threeDEmboss" w:sz="24" w:space="0" w:color="auto"/>
            </w:tcBorders>
            <w:noWrap/>
            <w:vAlign w:val="bottom"/>
            <w:hideMark/>
          </w:tcPr>
          <w:p w:rsidR="00DA2914" w:rsidRDefault="00DA2914">
            <w:pPr>
              <w:spacing w:before="60" w:after="60" w:line="276" w:lineRule="auto"/>
              <w:jc w:val="center"/>
              <w:rPr>
                <w:color w:val="000000"/>
                <w:szCs w:val="24"/>
                <w:lang w:eastAsia="en-US"/>
              </w:rPr>
            </w:pPr>
            <w:r>
              <w:rPr>
                <w:color w:val="000000"/>
                <w:szCs w:val="24"/>
                <w:lang w:eastAsia="en-US"/>
              </w:rPr>
              <w:t>X</w:t>
            </w:r>
          </w:p>
        </w:tc>
      </w:tr>
      <w:tr w:rsidR="00DA2914" w:rsidTr="00DA2914">
        <w:trPr>
          <w:trHeight w:val="285"/>
        </w:trPr>
        <w:tc>
          <w:tcPr>
            <w:tcW w:w="866" w:type="dxa"/>
            <w:tcBorders>
              <w:top w:val="single" w:sz="6" w:space="0" w:color="auto"/>
              <w:left w:val="threeDEmboss" w:sz="24" w:space="0" w:color="auto"/>
              <w:bottom w:val="single" w:sz="6" w:space="0" w:color="auto"/>
              <w:right w:val="single" w:sz="6" w:space="0" w:color="auto"/>
            </w:tcBorders>
            <w:noWrap/>
            <w:vAlign w:val="bottom"/>
            <w:hideMark/>
          </w:tcPr>
          <w:p w:rsidR="00DA2914" w:rsidRDefault="00DA2914">
            <w:pPr>
              <w:spacing w:before="60" w:after="60" w:line="276" w:lineRule="auto"/>
              <w:jc w:val="center"/>
              <w:rPr>
                <w:color w:val="000000"/>
                <w:szCs w:val="24"/>
                <w:lang w:eastAsia="en-US"/>
              </w:rPr>
            </w:pPr>
            <w:r>
              <w:rPr>
                <w:color w:val="000000"/>
                <w:szCs w:val="24"/>
                <w:lang w:eastAsia="en-US"/>
              </w:rPr>
              <w:t>7</w:t>
            </w:r>
          </w:p>
        </w:tc>
        <w:tc>
          <w:tcPr>
            <w:tcW w:w="1843" w:type="dxa"/>
            <w:tcBorders>
              <w:top w:val="single" w:sz="6" w:space="0" w:color="auto"/>
              <w:left w:val="single" w:sz="6" w:space="0" w:color="auto"/>
              <w:bottom w:val="single" w:sz="6" w:space="0" w:color="auto"/>
              <w:right w:val="single" w:sz="6" w:space="0" w:color="auto"/>
            </w:tcBorders>
            <w:noWrap/>
            <w:vAlign w:val="bottom"/>
            <w:hideMark/>
          </w:tcPr>
          <w:p w:rsidR="00DA2914" w:rsidRDefault="00DA2914">
            <w:pPr>
              <w:spacing w:before="60" w:after="60" w:line="276" w:lineRule="auto"/>
              <w:rPr>
                <w:color w:val="000000"/>
                <w:szCs w:val="24"/>
                <w:lang w:eastAsia="en-US"/>
              </w:rPr>
            </w:pPr>
            <w:r>
              <w:rPr>
                <w:color w:val="000000"/>
                <w:szCs w:val="24"/>
                <w:lang w:eastAsia="en-US"/>
              </w:rPr>
              <w:t>4-FA</w:t>
            </w:r>
          </w:p>
        </w:tc>
        <w:tc>
          <w:tcPr>
            <w:tcW w:w="2268" w:type="dxa"/>
            <w:tcBorders>
              <w:top w:val="single" w:sz="6" w:space="0" w:color="auto"/>
              <w:left w:val="single" w:sz="6" w:space="0" w:color="auto"/>
              <w:bottom w:val="single" w:sz="6" w:space="0" w:color="auto"/>
              <w:right w:val="single" w:sz="6" w:space="0" w:color="auto"/>
            </w:tcBorders>
            <w:noWrap/>
            <w:vAlign w:val="bottom"/>
            <w:hideMark/>
          </w:tcPr>
          <w:p w:rsidR="00DA2914" w:rsidRDefault="00DA2914">
            <w:pPr>
              <w:spacing w:before="60" w:after="60" w:line="276" w:lineRule="auto"/>
              <w:rPr>
                <w:color w:val="000000"/>
                <w:szCs w:val="24"/>
                <w:lang w:eastAsia="en-US"/>
              </w:rPr>
            </w:pPr>
            <w:proofErr w:type="spellStart"/>
            <w:r>
              <w:rPr>
                <w:color w:val="000000"/>
                <w:szCs w:val="24"/>
                <w:lang w:eastAsia="en-US"/>
              </w:rPr>
              <w:t>Fenetylaminy</w:t>
            </w:r>
            <w:proofErr w:type="spellEnd"/>
          </w:p>
        </w:tc>
        <w:tc>
          <w:tcPr>
            <w:tcW w:w="850" w:type="dxa"/>
            <w:tcBorders>
              <w:top w:val="single" w:sz="6" w:space="0" w:color="auto"/>
              <w:left w:val="single" w:sz="6" w:space="0" w:color="auto"/>
              <w:bottom w:val="single" w:sz="6" w:space="0" w:color="auto"/>
              <w:right w:val="single" w:sz="6" w:space="0" w:color="auto"/>
            </w:tcBorders>
            <w:vAlign w:val="bottom"/>
          </w:tcPr>
          <w:p w:rsidR="00DA2914" w:rsidRDefault="00DA2914">
            <w:pPr>
              <w:spacing w:before="60" w:after="60" w:line="276" w:lineRule="auto"/>
              <w:jc w:val="center"/>
              <w:rPr>
                <w:color w:val="000000"/>
                <w:szCs w:val="24"/>
                <w:lang w:eastAsia="en-US"/>
              </w:rPr>
            </w:pP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DA2914" w:rsidRDefault="00DA2914">
            <w:pPr>
              <w:spacing w:line="276" w:lineRule="auto"/>
              <w:jc w:val="left"/>
              <w:rPr>
                <w:rFonts w:asciiTheme="minorHAnsi" w:eastAsiaTheme="minorHAnsi" w:hAnsiTheme="minorHAnsi"/>
                <w:sz w:val="22"/>
                <w:szCs w:val="22"/>
                <w:lang w:eastAsia="en-US"/>
              </w:rPr>
            </w:pPr>
          </w:p>
        </w:tc>
        <w:tc>
          <w:tcPr>
            <w:tcW w:w="850" w:type="dxa"/>
            <w:tcBorders>
              <w:top w:val="single" w:sz="6" w:space="0" w:color="auto"/>
              <w:left w:val="single" w:sz="6" w:space="0" w:color="auto"/>
              <w:bottom w:val="single" w:sz="6" w:space="0" w:color="auto"/>
              <w:right w:val="threeDEmboss" w:sz="24" w:space="0" w:color="auto"/>
            </w:tcBorders>
            <w:noWrap/>
            <w:vAlign w:val="bottom"/>
            <w:hideMark/>
          </w:tcPr>
          <w:p w:rsidR="00DA2914" w:rsidRDefault="00DA2914">
            <w:pPr>
              <w:spacing w:before="60" w:after="60" w:line="276" w:lineRule="auto"/>
              <w:jc w:val="center"/>
              <w:rPr>
                <w:color w:val="000000"/>
                <w:szCs w:val="24"/>
                <w:lang w:eastAsia="en-US"/>
              </w:rPr>
            </w:pPr>
            <w:r>
              <w:rPr>
                <w:color w:val="000000"/>
                <w:szCs w:val="24"/>
                <w:lang w:eastAsia="en-US"/>
              </w:rPr>
              <w:t>X</w:t>
            </w:r>
          </w:p>
        </w:tc>
      </w:tr>
      <w:tr w:rsidR="00DA2914" w:rsidTr="00DA2914">
        <w:trPr>
          <w:trHeight w:val="285"/>
        </w:trPr>
        <w:tc>
          <w:tcPr>
            <w:tcW w:w="866" w:type="dxa"/>
            <w:tcBorders>
              <w:top w:val="single" w:sz="6" w:space="0" w:color="auto"/>
              <w:left w:val="threeDEmboss" w:sz="24" w:space="0" w:color="auto"/>
              <w:bottom w:val="single" w:sz="6" w:space="0" w:color="auto"/>
              <w:right w:val="single" w:sz="6" w:space="0" w:color="auto"/>
            </w:tcBorders>
            <w:noWrap/>
            <w:vAlign w:val="bottom"/>
            <w:hideMark/>
          </w:tcPr>
          <w:p w:rsidR="00DA2914" w:rsidRDefault="00DA2914">
            <w:pPr>
              <w:spacing w:before="60" w:after="60" w:line="276" w:lineRule="auto"/>
              <w:jc w:val="center"/>
              <w:rPr>
                <w:color w:val="000000"/>
                <w:szCs w:val="24"/>
                <w:lang w:eastAsia="en-US"/>
              </w:rPr>
            </w:pPr>
            <w:r>
              <w:rPr>
                <w:color w:val="000000"/>
                <w:szCs w:val="24"/>
                <w:lang w:eastAsia="en-US"/>
              </w:rPr>
              <w:t>8</w:t>
            </w:r>
          </w:p>
        </w:tc>
        <w:tc>
          <w:tcPr>
            <w:tcW w:w="1843" w:type="dxa"/>
            <w:tcBorders>
              <w:top w:val="single" w:sz="6" w:space="0" w:color="auto"/>
              <w:left w:val="single" w:sz="6" w:space="0" w:color="auto"/>
              <w:bottom w:val="single" w:sz="6" w:space="0" w:color="auto"/>
              <w:right w:val="single" w:sz="6" w:space="0" w:color="auto"/>
            </w:tcBorders>
            <w:noWrap/>
            <w:vAlign w:val="bottom"/>
            <w:hideMark/>
          </w:tcPr>
          <w:p w:rsidR="00DA2914" w:rsidRDefault="00DA2914">
            <w:pPr>
              <w:spacing w:before="60" w:after="60" w:line="276" w:lineRule="auto"/>
              <w:rPr>
                <w:color w:val="000000"/>
                <w:szCs w:val="24"/>
                <w:lang w:eastAsia="en-US"/>
              </w:rPr>
            </w:pPr>
            <w:r>
              <w:rPr>
                <w:color w:val="000000"/>
                <w:szCs w:val="24"/>
                <w:lang w:eastAsia="en-US"/>
              </w:rPr>
              <w:t>5F-AKB48</w:t>
            </w:r>
          </w:p>
        </w:tc>
        <w:tc>
          <w:tcPr>
            <w:tcW w:w="2268" w:type="dxa"/>
            <w:tcBorders>
              <w:top w:val="single" w:sz="6" w:space="0" w:color="auto"/>
              <w:left w:val="single" w:sz="6" w:space="0" w:color="auto"/>
              <w:bottom w:val="single" w:sz="6" w:space="0" w:color="auto"/>
              <w:right w:val="single" w:sz="6" w:space="0" w:color="auto"/>
            </w:tcBorders>
            <w:noWrap/>
            <w:vAlign w:val="bottom"/>
            <w:hideMark/>
          </w:tcPr>
          <w:p w:rsidR="00DA2914" w:rsidRDefault="00DA2914">
            <w:pPr>
              <w:spacing w:before="60" w:after="60" w:line="276" w:lineRule="auto"/>
              <w:rPr>
                <w:color w:val="000000"/>
                <w:szCs w:val="24"/>
                <w:lang w:eastAsia="en-US"/>
              </w:rPr>
            </w:pPr>
            <w:proofErr w:type="spellStart"/>
            <w:r>
              <w:rPr>
                <w:color w:val="000000"/>
                <w:szCs w:val="24"/>
                <w:lang w:eastAsia="en-US"/>
              </w:rPr>
              <w:t>Kanabinoidy</w:t>
            </w:r>
            <w:proofErr w:type="spellEnd"/>
          </w:p>
        </w:tc>
        <w:tc>
          <w:tcPr>
            <w:tcW w:w="850" w:type="dxa"/>
            <w:tcBorders>
              <w:top w:val="single" w:sz="6" w:space="0" w:color="auto"/>
              <w:left w:val="single" w:sz="6" w:space="0" w:color="auto"/>
              <w:bottom w:val="single" w:sz="6" w:space="0" w:color="auto"/>
              <w:right w:val="single" w:sz="6" w:space="0" w:color="auto"/>
            </w:tcBorders>
            <w:vAlign w:val="bottom"/>
          </w:tcPr>
          <w:p w:rsidR="00DA2914" w:rsidRDefault="00DA2914">
            <w:pPr>
              <w:spacing w:before="60" w:after="60" w:line="276" w:lineRule="auto"/>
              <w:jc w:val="center"/>
              <w:rPr>
                <w:color w:val="000000"/>
                <w:szCs w:val="24"/>
                <w:lang w:eastAsia="en-US"/>
              </w:rPr>
            </w:pP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DA2914" w:rsidRDefault="00DA2914">
            <w:pPr>
              <w:spacing w:line="276" w:lineRule="auto"/>
              <w:jc w:val="left"/>
              <w:rPr>
                <w:rFonts w:asciiTheme="minorHAnsi" w:eastAsiaTheme="minorHAnsi" w:hAnsiTheme="minorHAnsi"/>
                <w:sz w:val="22"/>
                <w:szCs w:val="22"/>
                <w:lang w:eastAsia="en-US"/>
              </w:rPr>
            </w:pPr>
          </w:p>
        </w:tc>
        <w:tc>
          <w:tcPr>
            <w:tcW w:w="850" w:type="dxa"/>
            <w:tcBorders>
              <w:top w:val="single" w:sz="6" w:space="0" w:color="auto"/>
              <w:left w:val="single" w:sz="6" w:space="0" w:color="auto"/>
              <w:bottom w:val="single" w:sz="6" w:space="0" w:color="auto"/>
              <w:right w:val="threeDEmboss" w:sz="24" w:space="0" w:color="auto"/>
            </w:tcBorders>
            <w:noWrap/>
            <w:vAlign w:val="bottom"/>
            <w:hideMark/>
          </w:tcPr>
          <w:p w:rsidR="00DA2914" w:rsidRDefault="00DA2914">
            <w:pPr>
              <w:spacing w:before="60" w:after="60" w:line="276" w:lineRule="auto"/>
              <w:jc w:val="center"/>
              <w:rPr>
                <w:color w:val="000000"/>
                <w:szCs w:val="24"/>
                <w:lang w:eastAsia="en-US"/>
              </w:rPr>
            </w:pPr>
            <w:r>
              <w:rPr>
                <w:color w:val="000000"/>
                <w:szCs w:val="24"/>
                <w:lang w:eastAsia="en-US"/>
              </w:rPr>
              <w:t>X</w:t>
            </w:r>
          </w:p>
        </w:tc>
      </w:tr>
      <w:tr w:rsidR="00DA2914" w:rsidTr="00DA2914">
        <w:trPr>
          <w:trHeight w:val="285"/>
        </w:trPr>
        <w:tc>
          <w:tcPr>
            <w:tcW w:w="866" w:type="dxa"/>
            <w:tcBorders>
              <w:top w:val="single" w:sz="6" w:space="0" w:color="auto"/>
              <w:left w:val="threeDEmboss" w:sz="24" w:space="0" w:color="auto"/>
              <w:bottom w:val="single" w:sz="6" w:space="0" w:color="auto"/>
              <w:right w:val="single" w:sz="6" w:space="0" w:color="auto"/>
            </w:tcBorders>
            <w:noWrap/>
            <w:vAlign w:val="bottom"/>
            <w:hideMark/>
          </w:tcPr>
          <w:p w:rsidR="00DA2914" w:rsidRDefault="00DA2914">
            <w:pPr>
              <w:spacing w:before="60" w:after="60" w:line="276" w:lineRule="auto"/>
              <w:jc w:val="center"/>
              <w:rPr>
                <w:color w:val="000000"/>
                <w:szCs w:val="24"/>
                <w:lang w:eastAsia="en-US"/>
              </w:rPr>
            </w:pPr>
            <w:r>
              <w:rPr>
                <w:color w:val="000000"/>
                <w:szCs w:val="24"/>
                <w:lang w:eastAsia="en-US"/>
              </w:rPr>
              <w:t>9</w:t>
            </w:r>
          </w:p>
        </w:tc>
        <w:tc>
          <w:tcPr>
            <w:tcW w:w="1843" w:type="dxa"/>
            <w:tcBorders>
              <w:top w:val="single" w:sz="6" w:space="0" w:color="auto"/>
              <w:left w:val="single" w:sz="6" w:space="0" w:color="auto"/>
              <w:bottom w:val="single" w:sz="6" w:space="0" w:color="auto"/>
              <w:right w:val="single" w:sz="6" w:space="0" w:color="auto"/>
            </w:tcBorders>
            <w:noWrap/>
            <w:vAlign w:val="bottom"/>
            <w:hideMark/>
          </w:tcPr>
          <w:p w:rsidR="00DA2914" w:rsidRDefault="00DA2914">
            <w:pPr>
              <w:spacing w:before="60" w:after="60" w:line="276" w:lineRule="auto"/>
              <w:rPr>
                <w:color w:val="000000"/>
                <w:szCs w:val="24"/>
                <w:lang w:eastAsia="en-US"/>
              </w:rPr>
            </w:pPr>
            <w:r>
              <w:rPr>
                <w:color w:val="000000"/>
                <w:szCs w:val="24"/>
                <w:lang w:eastAsia="en-US"/>
              </w:rPr>
              <w:t>3-FMC</w:t>
            </w:r>
          </w:p>
        </w:tc>
        <w:tc>
          <w:tcPr>
            <w:tcW w:w="2268" w:type="dxa"/>
            <w:tcBorders>
              <w:top w:val="single" w:sz="6" w:space="0" w:color="auto"/>
              <w:left w:val="single" w:sz="6" w:space="0" w:color="auto"/>
              <w:bottom w:val="single" w:sz="6" w:space="0" w:color="auto"/>
              <w:right w:val="single" w:sz="6" w:space="0" w:color="auto"/>
            </w:tcBorders>
            <w:noWrap/>
            <w:vAlign w:val="bottom"/>
            <w:hideMark/>
          </w:tcPr>
          <w:p w:rsidR="00DA2914" w:rsidRDefault="00DA2914">
            <w:pPr>
              <w:spacing w:before="60" w:after="60" w:line="276" w:lineRule="auto"/>
              <w:rPr>
                <w:color w:val="000000"/>
                <w:szCs w:val="24"/>
                <w:lang w:eastAsia="en-US"/>
              </w:rPr>
            </w:pPr>
            <w:proofErr w:type="spellStart"/>
            <w:r>
              <w:rPr>
                <w:color w:val="000000"/>
                <w:szCs w:val="24"/>
                <w:lang w:eastAsia="en-US"/>
              </w:rPr>
              <w:t>Katinony</w:t>
            </w:r>
            <w:proofErr w:type="spellEnd"/>
          </w:p>
        </w:tc>
        <w:tc>
          <w:tcPr>
            <w:tcW w:w="850" w:type="dxa"/>
            <w:tcBorders>
              <w:top w:val="single" w:sz="6" w:space="0" w:color="auto"/>
              <w:left w:val="single" w:sz="6" w:space="0" w:color="auto"/>
              <w:bottom w:val="single" w:sz="6" w:space="0" w:color="auto"/>
              <w:right w:val="single" w:sz="6" w:space="0" w:color="auto"/>
            </w:tcBorders>
            <w:vAlign w:val="bottom"/>
          </w:tcPr>
          <w:p w:rsidR="00DA2914" w:rsidRDefault="00DA2914">
            <w:pPr>
              <w:spacing w:before="60" w:after="60" w:line="276" w:lineRule="auto"/>
              <w:jc w:val="center"/>
              <w:rPr>
                <w:color w:val="000000"/>
                <w:szCs w:val="24"/>
                <w:lang w:eastAsia="en-US"/>
              </w:rPr>
            </w:pP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DA2914" w:rsidRDefault="00DA2914">
            <w:pPr>
              <w:spacing w:line="276" w:lineRule="auto"/>
              <w:jc w:val="left"/>
              <w:rPr>
                <w:rFonts w:asciiTheme="minorHAnsi" w:eastAsiaTheme="minorHAnsi" w:hAnsiTheme="minorHAnsi"/>
                <w:sz w:val="22"/>
                <w:szCs w:val="22"/>
                <w:lang w:eastAsia="en-US"/>
              </w:rPr>
            </w:pPr>
          </w:p>
        </w:tc>
        <w:tc>
          <w:tcPr>
            <w:tcW w:w="850" w:type="dxa"/>
            <w:tcBorders>
              <w:top w:val="single" w:sz="6" w:space="0" w:color="auto"/>
              <w:left w:val="single" w:sz="6" w:space="0" w:color="auto"/>
              <w:bottom w:val="single" w:sz="6" w:space="0" w:color="auto"/>
              <w:right w:val="threeDEmboss" w:sz="24" w:space="0" w:color="auto"/>
            </w:tcBorders>
            <w:noWrap/>
            <w:vAlign w:val="bottom"/>
            <w:hideMark/>
          </w:tcPr>
          <w:p w:rsidR="00DA2914" w:rsidRDefault="00DA2914">
            <w:pPr>
              <w:spacing w:before="60" w:after="60" w:line="276" w:lineRule="auto"/>
              <w:jc w:val="center"/>
              <w:rPr>
                <w:color w:val="000000"/>
                <w:szCs w:val="24"/>
                <w:lang w:eastAsia="en-US"/>
              </w:rPr>
            </w:pPr>
            <w:r>
              <w:rPr>
                <w:color w:val="000000"/>
                <w:szCs w:val="24"/>
                <w:lang w:eastAsia="en-US"/>
              </w:rPr>
              <w:t>X</w:t>
            </w:r>
          </w:p>
        </w:tc>
      </w:tr>
      <w:tr w:rsidR="00DA2914" w:rsidTr="00DA2914">
        <w:trPr>
          <w:trHeight w:val="285"/>
        </w:trPr>
        <w:tc>
          <w:tcPr>
            <w:tcW w:w="866" w:type="dxa"/>
            <w:tcBorders>
              <w:top w:val="single" w:sz="6" w:space="0" w:color="auto"/>
              <w:left w:val="threeDEmboss" w:sz="24" w:space="0" w:color="auto"/>
              <w:bottom w:val="single" w:sz="6" w:space="0" w:color="auto"/>
              <w:right w:val="single" w:sz="6" w:space="0" w:color="auto"/>
            </w:tcBorders>
            <w:noWrap/>
            <w:vAlign w:val="bottom"/>
            <w:hideMark/>
          </w:tcPr>
          <w:p w:rsidR="00DA2914" w:rsidRDefault="00DA2914">
            <w:pPr>
              <w:spacing w:before="60" w:after="60" w:line="276" w:lineRule="auto"/>
              <w:jc w:val="center"/>
              <w:rPr>
                <w:color w:val="000000"/>
                <w:szCs w:val="24"/>
                <w:lang w:eastAsia="en-US"/>
              </w:rPr>
            </w:pPr>
            <w:r>
              <w:rPr>
                <w:color w:val="000000"/>
                <w:szCs w:val="24"/>
                <w:lang w:eastAsia="en-US"/>
              </w:rPr>
              <w:t>10</w:t>
            </w:r>
          </w:p>
        </w:tc>
        <w:tc>
          <w:tcPr>
            <w:tcW w:w="1843" w:type="dxa"/>
            <w:tcBorders>
              <w:top w:val="single" w:sz="6" w:space="0" w:color="auto"/>
              <w:left w:val="single" w:sz="6" w:space="0" w:color="auto"/>
              <w:bottom w:val="single" w:sz="6" w:space="0" w:color="auto"/>
              <w:right w:val="single" w:sz="6" w:space="0" w:color="auto"/>
            </w:tcBorders>
            <w:noWrap/>
            <w:vAlign w:val="bottom"/>
            <w:hideMark/>
          </w:tcPr>
          <w:p w:rsidR="00DA2914" w:rsidRDefault="00DA2914">
            <w:pPr>
              <w:spacing w:before="60" w:after="60" w:line="276" w:lineRule="auto"/>
              <w:rPr>
                <w:color w:val="000000"/>
                <w:szCs w:val="24"/>
                <w:lang w:eastAsia="en-US"/>
              </w:rPr>
            </w:pPr>
            <w:r>
              <w:rPr>
                <w:color w:val="000000"/>
                <w:szCs w:val="24"/>
                <w:lang w:eastAsia="en-US"/>
              </w:rPr>
              <w:t>25I-NBOMe</w:t>
            </w:r>
          </w:p>
        </w:tc>
        <w:tc>
          <w:tcPr>
            <w:tcW w:w="2268" w:type="dxa"/>
            <w:tcBorders>
              <w:top w:val="single" w:sz="6" w:space="0" w:color="auto"/>
              <w:left w:val="single" w:sz="6" w:space="0" w:color="auto"/>
              <w:bottom w:val="single" w:sz="6" w:space="0" w:color="auto"/>
              <w:right w:val="single" w:sz="6" w:space="0" w:color="auto"/>
            </w:tcBorders>
            <w:noWrap/>
            <w:vAlign w:val="bottom"/>
            <w:hideMark/>
          </w:tcPr>
          <w:p w:rsidR="00DA2914" w:rsidRDefault="00DA2914">
            <w:pPr>
              <w:spacing w:before="60" w:after="60" w:line="276" w:lineRule="auto"/>
              <w:rPr>
                <w:color w:val="000000"/>
                <w:szCs w:val="24"/>
                <w:lang w:eastAsia="en-US"/>
              </w:rPr>
            </w:pPr>
            <w:proofErr w:type="spellStart"/>
            <w:r>
              <w:rPr>
                <w:color w:val="000000"/>
                <w:szCs w:val="24"/>
                <w:lang w:eastAsia="en-US"/>
              </w:rPr>
              <w:t>Fenetylaminy</w:t>
            </w:r>
            <w:proofErr w:type="spellEnd"/>
          </w:p>
        </w:tc>
        <w:tc>
          <w:tcPr>
            <w:tcW w:w="850" w:type="dxa"/>
            <w:tcBorders>
              <w:top w:val="single" w:sz="6" w:space="0" w:color="auto"/>
              <w:left w:val="single" w:sz="6" w:space="0" w:color="auto"/>
              <w:bottom w:val="single" w:sz="6" w:space="0" w:color="auto"/>
              <w:right w:val="single" w:sz="6" w:space="0" w:color="auto"/>
            </w:tcBorders>
            <w:vAlign w:val="bottom"/>
            <w:hideMark/>
          </w:tcPr>
          <w:p w:rsidR="00DA2914" w:rsidRDefault="00DA2914">
            <w:pPr>
              <w:spacing w:before="60" w:after="60" w:line="276" w:lineRule="auto"/>
              <w:jc w:val="center"/>
              <w:rPr>
                <w:color w:val="000000"/>
                <w:szCs w:val="24"/>
                <w:lang w:eastAsia="en-US"/>
              </w:rPr>
            </w:pPr>
            <w:r>
              <w:rPr>
                <w:color w:val="000000"/>
                <w:szCs w:val="24"/>
                <w:lang w:eastAsia="en-US"/>
              </w:rPr>
              <w:t>N</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DA2914" w:rsidRDefault="00DA2914">
            <w:pPr>
              <w:spacing w:before="60" w:after="60" w:line="276" w:lineRule="auto"/>
              <w:jc w:val="center"/>
              <w:rPr>
                <w:color w:val="000000"/>
                <w:szCs w:val="24"/>
                <w:lang w:eastAsia="en-US"/>
              </w:rPr>
            </w:pPr>
            <w:r>
              <w:rPr>
                <w:color w:val="000000"/>
                <w:szCs w:val="24"/>
                <w:lang w:eastAsia="en-US"/>
              </w:rPr>
              <w:t>X</w:t>
            </w:r>
          </w:p>
        </w:tc>
        <w:tc>
          <w:tcPr>
            <w:tcW w:w="850" w:type="dxa"/>
            <w:tcBorders>
              <w:top w:val="single" w:sz="6" w:space="0" w:color="auto"/>
              <w:left w:val="single" w:sz="6" w:space="0" w:color="auto"/>
              <w:bottom w:val="single" w:sz="6" w:space="0" w:color="auto"/>
              <w:right w:val="threeDEmboss" w:sz="24" w:space="0" w:color="auto"/>
            </w:tcBorders>
            <w:noWrap/>
            <w:vAlign w:val="bottom"/>
            <w:hideMark/>
          </w:tcPr>
          <w:p w:rsidR="00DA2914" w:rsidRDefault="00DA2914">
            <w:pPr>
              <w:spacing w:before="60" w:after="60" w:line="276" w:lineRule="auto"/>
              <w:jc w:val="center"/>
              <w:rPr>
                <w:color w:val="000000"/>
                <w:szCs w:val="24"/>
                <w:lang w:eastAsia="en-US"/>
              </w:rPr>
            </w:pPr>
            <w:r>
              <w:rPr>
                <w:color w:val="000000"/>
                <w:szCs w:val="24"/>
                <w:lang w:eastAsia="en-US"/>
              </w:rPr>
              <w:t>X</w:t>
            </w:r>
          </w:p>
        </w:tc>
      </w:tr>
      <w:tr w:rsidR="00DA2914" w:rsidTr="00DA2914">
        <w:trPr>
          <w:trHeight w:val="285"/>
        </w:trPr>
        <w:tc>
          <w:tcPr>
            <w:tcW w:w="866" w:type="dxa"/>
            <w:tcBorders>
              <w:top w:val="single" w:sz="6" w:space="0" w:color="auto"/>
              <w:left w:val="threeDEmboss" w:sz="24" w:space="0" w:color="auto"/>
              <w:bottom w:val="single" w:sz="6" w:space="0" w:color="auto"/>
              <w:right w:val="single" w:sz="6" w:space="0" w:color="auto"/>
            </w:tcBorders>
            <w:noWrap/>
            <w:vAlign w:val="bottom"/>
            <w:hideMark/>
          </w:tcPr>
          <w:p w:rsidR="00DA2914" w:rsidRDefault="00DA2914">
            <w:pPr>
              <w:spacing w:before="60" w:after="60" w:line="276" w:lineRule="auto"/>
              <w:jc w:val="center"/>
              <w:rPr>
                <w:color w:val="000000"/>
                <w:szCs w:val="24"/>
                <w:lang w:eastAsia="en-US"/>
              </w:rPr>
            </w:pPr>
            <w:r>
              <w:rPr>
                <w:color w:val="000000"/>
                <w:szCs w:val="24"/>
                <w:lang w:eastAsia="en-US"/>
              </w:rPr>
              <w:t>11</w:t>
            </w:r>
          </w:p>
        </w:tc>
        <w:tc>
          <w:tcPr>
            <w:tcW w:w="1843" w:type="dxa"/>
            <w:tcBorders>
              <w:top w:val="single" w:sz="6" w:space="0" w:color="auto"/>
              <w:left w:val="single" w:sz="6" w:space="0" w:color="auto"/>
              <w:bottom w:val="single" w:sz="6" w:space="0" w:color="auto"/>
              <w:right w:val="single" w:sz="6" w:space="0" w:color="auto"/>
            </w:tcBorders>
            <w:noWrap/>
            <w:vAlign w:val="bottom"/>
            <w:hideMark/>
          </w:tcPr>
          <w:p w:rsidR="00DA2914" w:rsidRDefault="00DA2914">
            <w:pPr>
              <w:spacing w:before="60" w:after="60" w:line="276" w:lineRule="auto"/>
              <w:rPr>
                <w:color w:val="000000"/>
                <w:szCs w:val="24"/>
                <w:lang w:eastAsia="en-US"/>
              </w:rPr>
            </w:pPr>
            <w:r>
              <w:rPr>
                <w:color w:val="000000"/>
                <w:szCs w:val="24"/>
                <w:lang w:eastAsia="en-US"/>
              </w:rPr>
              <w:t>3-MEC</w:t>
            </w:r>
          </w:p>
        </w:tc>
        <w:tc>
          <w:tcPr>
            <w:tcW w:w="2268" w:type="dxa"/>
            <w:tcBorders>
              <w:top w:val="single" w:sz="6" w:space="0" w:color="auto"/>
              <w:left w:val="single" w:sz="6" w:space="0" w:color="auto"/>
              <w:bottom w:val="single" w:sz="6" w:space="0" w:color="auto"/>
              <w:right w:val="single" w:sz="6" w:space="0" w:color="auto"/>
            </w:tcBorders>
            <w:noWrap/>
            <w:vAlign w:val="bottom"/>
            <w:hideMark/>
          </w:tcPr>
          <w:p w:rsidR="00DA2914" w:rsidRDefault="00DA2914">
            <w:pPr>
              <w:spacing w:before="60" w:after="60" w:line="276" w:lineRule="auto"/>
              <w:rPr>
                <w:color w:val="000000"/>
                <w:szCs w:val="24"/>
                <w:lang w:eastAsia="en-US"/>
              </w:rPr>
            </w:pPr>
            <w:proofErr w:type="spellStart"/>
            <w:r>
              <w:rPr>
                <w:color w:val="000000"/>
                <w:szCs w:val="24"/>
                <w:lang w:eastAsia="en-US"/>
              </w:rPr>
              <w:t>Katinony</w:t>
            </w:r>
            <w:proofErr w:type="spellEnd"/>
          </w:p>
        </w:tc>
        <w:tc>
          <w:tcPr>
            <w:tcW w:w="850" w:type="dxa"/>
            <w:tcBorders>
              <w:top w:val="single" w:sz="6" w:space="0" w:color="auto"/>
              <w:left w:val="single" w:sz="6" w:space="0" w:color="auto"/>
              <w:bottom w:val="single" w:sz="6" w:space="0" w:color="auto"/>
              <w:right w:val="single" w:sz="6" w:space="0" w:color="auto"/>
            </w:tcBorders>
            <w:vAlign w:val="bottom"/>
          </w:tcPr>
          <w:p w:rsidR="00DA2914" w:rsidRDefault="00DA2914">
            <w:pPr>
              <w:spacing w:before="60" w:after="60" w:line="276" w:lineRule="auto"/>
              <w:jc w:val="center"/>
              <w:rPr>
                <w:color w:val="000000"/>
                <w:szCs w:val="24"/>
                <w:lang w:eastAsia="en-US"/>
              </w:rPr>
            </w:pPr>
          </w:p>
        </w:tc>
        <w:tc>
          <w:tcPr>
            <w:tcW w:w="851" w:type="dxa"/>
            <w:tcBorders>
              <w:top w:val="single" w:sz="6" w:space="0" w:color="auto"/>
              <w:left w:val="single" w:sz="6" w:space="0" w:color="auto"/>
              <w:bottom w:val="single" w:sz="6" w:space="0" w:color="auto"/>
              <w:right w:val="single" w:sz="6" w:space="0" w:color="auto"/>
            </w:tcBorders>
            <w:noWrap/>
            <w:vAlign w:val="bottom"/>
          </w:tcPr>
          <w:p w:rsidR="00DA2914" w:rsidRDefault="00DA2914">
            <w:pPr>
              <w:spacing w:before="60" w:after="60" w:line="276" w:lineRule="auto"/>
              <w:jc w:val="center"/>
              <w:rPr>
                <w:color w:val="000000"/>
                <w:szCs w:val="24"/>
                <w:lang w:eastAsia="en-US"/>
              </w:rPr>
            </w:pPr>
          </w:p>
        </w:tc>
        <w:tc>
          <w:tcPr>
            <w:tcW w:w="850" w:type="dxa"/>
            <w:tcBorders>
              <w:top w:val="single" w:sz="6" w:space="0" w:color="auto"/>
              <w:left w:val="single" w:sz="6" w:space="0" w:color="auto"/>
              <w:bottom w:val="single" w:sz="6" w:space="0" w:color="auto"/>
              <w:right w:val="threeDEmboss" w:sz="24" w:space="0" w:color="auto"/>
            </w:tcBorders>
            <w:noWrap/>
            <w:vAlign w:val="bottom"/>
            <w:hideMark/>
          </w:tcPr>
          <w:p w:rsidR="00DA2914" w:rsidRDefault="00DA2914">
            <w:pPr>
              <w:spacing w:before="60" w:after="60" w:line="276" w:lineRule="auto"/>
              <w:jc w:val="center"/>
              <w:rPr>
                <w:color w:val="000000"/>
                <w:szCs w:val="24"/>
                <w:lang w:eastAsia="en-US"/>
              </w:rPr>
            </w:pPr>
            <w:r>
              <w:rPr>
                <w:color w:val="000000"/>
                <w:szCs w:val="24"/>
                <w:lang w:eastAsia="en-US"/>
              </w:rPr>
              <w:t>X</w:t>
            </w:r>
          </w:p>
        </w:tc>
      </w:tr>
      <w:tr w:rsidR="00DA2914" w:rsidTr="00DA2914">
        <w:trPr>
          <w:trHeight w:val="285"/>
        </w:trPr>
        <w:tc>
          <w:tcPr>
            <w:tcW w:w="866" w:type="dxa"/>
            <w:tcBorders>
              <w:top w:val="single" w:sz="6" w:space="0" w:color="auto"/>
              <w:left w:val="threeDEmboss" w:sz="24" w:space="0" w:color="auto"/>
              <w:bottom w:val="single" w:sz="6" w:space="0" w:color="auto"/>
              <w:right w:val="single" w:sz="6" w:space="0" w:color="auto"/>
            </w:tcBorders>
            <w:noWrap/>
            <w:vAlign w:val="bottom"/>
            <w:hideMark/>
          </w:tcPr>
          <w:p w:rsidR="00DA2914" w:rsidRDefault="00DA2914">
            <w:pPr>
              <w:spacing w:before="60" w:after="60" w:line="276" w:lineRule="auto"/>
              <w:jc w:val="center"/>
              <w:rPr>
                <w:color w:val="000000"/>
                <w:szCs w:val="24"/>
                <w:lang w:eastAsia="en-US"/>
              </w:rPr>
            </w:pPr>
            <w:r>
              <w:rPr>
                <w:color w:val="000000"/>
                <w:szCs w:val="24"/>
                <w:lang w:eastAsia="en-US"/>
              </w:rPr>
              <w:t>12</w:t>
            </w:r>
          </w:p>
        </w:tc>
        <w:tc>
          <w:tcPr>
            <w:tcW w:w="1843" w:type="dxa"/>
            <w:tcBorders>
              <w:top w:val="single" w:sz="6" w:space="0" w:color="auto"/>
              <w:left w:val="single" w:sz="6" w:space="0" w:color="auto"/>
              <w:bottom w:val="single" w:sz="6" w:space="0" w:color="auto"/>
              <w:right w:val="single" w:sz="6" w:space="0" w:color="auto"/>
            </w:tcBorders>
            <w:noWrap/>
            <w:vAlign w:val="bottom"/>
            <w:hideMark/>
          </w:tcPr>
          <w:p w:rsidR="00DA2914" w:rsidRDefault="00DA2914">
            <w:pPr>
              <w:spacing w:before="60" w:after="60" w:line="276" w:lineRule="auto"/>
              <w:rPr>
                <w:color w:val="000000"/>
                <w:szCs w:val="24"/>
                <w:lang w:eastAsia="en-US"/>
              </w:rPr>
            </w:pPr>
            <w:r>
              <w:rPr>
                <w:color w:val="000000"/>
                <w:szCs w:val="24"/>
                <w:lang w:eastAsia="en-US"/>
              </w:rPr>
              <w:t>3-MMC</w:t>
            </w:r>
          </w:p>
        </w:tc>
        <w:tc>
          <w:tcPr>
            <w:tcW w:w="2268" w:type="dxa"/>
            <w:tcBorders>
              <w:top w:val="single" w:sz="6" w:space="0" w:color="auto"/>
              <w:left w:val="single" w:sz="6" w:space="0" w:color="auto"/>
              <w:bottom w:val="single" w:sz="6" w:space="0" w:color="auto"/>
              <w:right w:val="single" w:sz="6" w:space="0" w:color="auto"/>
            </w:tcBorders>
            <w:noWrap/>
            <w:vAlign w:val="bottom"/>
            <w:hideMark/>
          </w:tcPr>
          <w:p w:rsidR="00DA2914" w:rsidRDefault="00DA2914">
            <w:pPr>
              <w:spacing w:before="60" w:after="60" w:line="276" w:lineRule="auto"/>
              <w:rPr>
                <w:color w:val="000000"/>
                <w:szCs w:val="24"/>
                <w:lang w:eastAsia="en-US"/>
              </w:rPr>
            </w:pPr>
            <w:proofErr w:type="spellStart"/>
            <w:r>
              <w:rPr>
                <w:color w:val="000000"/>
                <w:szCs w:val="24"/>
                <w:lang w:eastAsia="en-US"/>
              </w:rPr>
              <w:t>Katinony</w:t>
            </w:r>
            <w:proofErr w:type="spellEnd"/>
          </w:p>
        </w:tc>
        <w:tc>
          <w:tcPr>
            <w:tcW w:w="850" w:type="dxa"/>
            <w:tcBorders>
              <w:top w:val="single" w:sz="6" w:space="0" w:color="auto"/>
              <w:left w:val="single" w:sz="6" w:space="0" w:color="auto"/>
              <w:bottom w:val="single" w:sz="6" w:space="0" w:color="auto"/>
              <w:right w:val="single" w:sz="6" w:space="0" w:color="auto"/>
            </w:tcBorders>
            <w:vAlign w:val="bottom"/>
          </w:tcPr>
          <w:p w:rsidR="00DA2914" w:rsidRDefault="00DA2914">
            <w:pPr>
              <w:spacing w:before="60" w:after="60" w:line="276" w:lineRule="auto"/>
              <w:jc w:val="center"/>
              <w:rPr>
                <w:color w:val="000000"/>
                <w:szCs w:val="24"/>
                <w:lang w:eastAsia="en-US"/>
              </w:rPr>
            </w:pPr>
          </w:p>
        </w:tc>
        <w:tc>
          <w:tcPr>
            <w:tcW w:w="851" w:type="dxa"/>
            <w:tcBorders>
              <w:top w:val="single" w:sz="6" w:space="0" w:color="auto"/>
              <w:left w:val="single" w:sz="6" w:space="0" w:color="auto"/>
              <w:bottom w:val="single" w:sz="6" w:space="0" w:color="auto"/>
              <w:right w:val="single" w:sz="6" w:space="0" w:color="auto"/>
            </w:tcBorders>
            <w:noWrap/>
            <w:vAlign w:val="bottom"/>
          </w:tcPr>
          <w:p w:rsidR="00DA2914" w:rsidRDefault="00DA2914">
            <w:pPr>
              <w:spacing w:before="60" w:after="60" w:line="276" w:lineRule="auto"/>
              <w:jc w:val="center"/>
              <w:rPr>
                <w:color w:val="000000"/>
                <w:szCs w:val="24"/>
                <w:lang w:eastAsia="en-US"/>
              </w:rPr>
            </w:pPr>
          </w:p>
        </w:tc>
        <w:tc>
          <w:tcPr>
            <w:tcW w:w="850" w:type="dxa"/>
            <w:tcBorders>
              <w:top w:val="single" w:sz="6" w:space="0" w:color="auto"/>
              <w:left w:val="single" w:sz="6" w:space="0" w:color="auto"/>
              <w:bottom w:val="single" w:sz="6" w:space="0" w:color="auto"/>
              <w:right w:val="threeDEmboss" w:sz="24" w:space="0" w:color="auto"/>
            </w:tcBorders>
            <w:noWrap/>
            <w:vAlign w:val="bottom"/>
            <w:hideMark/>
          </w:tcPr>
          <w:p w:rsidR="00DA2914" w:rsidRDefault="00DA2914">
            <w:pPr>
              <w:spacing w:before="60" w:after="60" w:line="276" w:lineRule="auto"/>
              <w:jc w:val="center"/>
              <w:rPr>
                <w:color w:val="000000"/>
                <w:szCs w:val="24"/>
                <w:lang w:eastAsia="en-US"/>
              </w:rPr>
            </w:pPr>
            <w:r>
              <w:rPr>
                <w:color w:val="000000"/>
                <w:szCs w:val="24"/>
                <w:lang w:eastAsia="en-US"/>
              </w:rPr>
              <w:t>X</w:t>
            </w:r>
          </w:p>
        </w:tc>
      </w:tr>
      <w:tr w:rsidR="00DA2914" w:rsidTr="00DA2914">
        <w:trPr>
          <w:trHeight w:val="285"/>
        </w:trPr>
        <w:tc>
          <w:tcPr>
            <w:tcW w:w="866" w:type="dxa"/>
            <w:tcBorders>
              <w:top w:val="single" w:sz="6" w:space="0" w:color="auto"/>
              <w:left w:val="threeDEmboss" w:sz="24" w:space="0" w:color="auto"/>
              <w:bottom w:val="single" w:sz="6" w:space="0" w:color="auto"/>
              <w:right w:val="single" w:sz="6" w:space="0" w:color="auto"/>
            </w:tcBorders>
            <w:noWrap/>
            <w:vAlign w:val="bottom"/>
            <w:hideMark/>
          </w:tcPr>
          <w:p w:rsidR="00DA2914" w:rsidRDefault="00DA2914">
            <w:pPr>
              <w:spacing w:before="60" w:after="60" w:line="276" w:lineRule="auto"/>
              <w:jc w:val="center"/>
              <w:rPr>
                <w:color w:val="000000"/>
                <w:szCs w:val="24"/>
                <w:lang w:eastAsia="en-US"/>
              </w:rPr>
            </w:pPr>
            <w:r>
              <w:rPr>
                <w:color w:val="000000"/>
                <w:szCs w:val="24"/>
                <w:lang w:eastAsia="en-US"/>
              </w:rPr>
              <w:t>13</w:t>
            </w:r>
          </w:p>
        </w:tc>
        <w:tc>
          <w:tcPr>
            <w:tcW w:w="1843" w:type="dxa"/>
            <w:tcBorders>
              <w:top w:val="single" w:sz="6" w:space="0" w:color="auto"/>
              <w:left w:val="single" w:sz="6" w:space="0" w:color="auto"/>
              <w:bottom w:val="single" w:sz="6" w:space="0" w:color="auto"/>
              <w:right w:val="single" w:sz="6" w:space="0" w:color="auto"/>
            </w:tcBorders>
            <w:noWrap/>
            <w:vAlign w:val="bottom"/>
            <w:hideMark/>
          </w:tcPr>
          <w:p w:rsidR="00DA2914" w:rsidRDefault="00DA2914">
            <w:pPr>
              <w:spacing w:before="60" w:after="60" w:line="276" w:lineRule="auto"/>
              <w:rPr>
                <w:color w:val="000000"/>
                <w:szCs w:val="24"/>
                <w:lang w:eastAsia="en-US"/>
              </w:rPr>
            </w:pPr>
            <w:proofErr w:type="spellStart"/>
            <w:r>
              <w:rPr>
                <w:color w:val="000000"/>
                <w:szCs w:val="24"/>
                <w:lang w:eastAsia="en-US"/>
              </w:rPr>
              <w:t>Methoxetamin</w:t>
            </w:r>
            <w:proofErr w:type="spellEnd"/>
          </w:p>
        </w:tc>
        <w:tc>
          <w:tcPr>
            <w:tcW w:w="2268" w:type="dxa"/>
            <w:tcBorders>
              <w:top w:val="single" w:sz="6" w:space="0" w:color="auto"/>
              <w:left w:val="single" w:sz="6" w:space="0" w:color="auto"/>
              <w:bottom w:val="single" w:sz="6" w:space="0" w:color="auto"/>
              <w:right w:val="single" w:sz="6" w:space="0" w:color="auto"/>
            </w:tcBorders>
            <w:noWrap/>
            <w:vAlign w:val="bottom"/>
            <w:hideMark/>
          </w:tcPr>
          <w:p w:rsidR="00DA2914" w:rsidRDefault="00DA2914">
            <w:pPr>
              <w:spacing w:before="60" w:after="60" w:line="276" w:lineRule="auto"/>
              <w:rPr>
                <w:color w:val="000000"/>
                <w:szCs w:val="24"/>
                <w:lang w:eastAsia="en-US"/>
              </w:rPr>
            </w:pPr>
            <w:proofErr w:type="spellStart"/>
            <w:r>
              <w:rPr>
                <w:color w:val="000000"/>
                <w:szCs w:val="24"/>
                <w:lang w:eastAsia="en-US"/>
              </w:rPr>
              <w:t>Arylcyklohexylaminy</w:t>
            </w:r>
            <w:proofErr w:type="spellEnd"/>
          </w:p>
        </w:tc>
        <w:tc>
          <w:tcPr>
            <w:tcW w:w="850" w:type="dxa"/>
            <w:tcBorders>
              <w:top w:val="single" w:sz="6" w:space="0" w:color="auto"/>
              <w:left w:val="single" w:sz="6" w:space="0" w:color="auto"/>
              <w:bottom w:val="single" w:sz="6" w:space="0" w:color="auto"/>
              <w:right w:val="single" w:sz="6" w:space="0" w:color="auto"/>
            </w:tcBorders>
            <w:vAlign w:val="bottom"/>
          </w:tcPr>
          <w:p w:rsidR="00DA2914" w:rsidRDefault="00DA2914">
            <w:pPr>
              <w:spacing w:before="60" w:after="60" w:line="276" w:lineRule="auto"/>
              <w:jc w:val="center"/>
              <w:rPr>
                <w:color w:val="000000"/>
                <w:szCs w:val="24"/>
                <w:lang w:eastAsia="en-US"/>
              </w:rPr>
            </w:pP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DA2914" w:rsidRDefault="00DA2914">
            <w:pPr>
              <w:spacing w:before="60" w:after="60" w:line="276" w:lineRule="auto"/>
              <w:jc w:val="center"/>
              <w:rPr>
                <w:color w:val="000000"/>
                <w:szCs w:val="24"/>
                <w:lang w:eastAsia="en-US"/>
              </w:rPr>
            </w:pPr>
            <w:r>
              <w:rPr>
                <w:color w:val="000000"/>
                <w:szCs w:val="24"/>
                <w:lang w:eastAsia="en-US"/>
              </w:rPr>
              <w:t>X</w:t>
            </w:r>
          </w:p>
        </w:tc>
        <w:tc>
          <w:tcPr>
            <w:tcW w:w="850" w:type="dxa"/>
            <w:tcBorders>
              <w:top w:val="single" w:sz="6" w:space="0" w:color="auto"/>
              <w:left w:val="single" w:sz="6" w:space="0" w:color="auto"/>
              <w:bottom w:val="single" w:sz="6" w:space="0" w:color="auto"/>
              <w:right w:val="threeDEmboss" w:sz="24" w:space="0" w:color="auto"/>
            </w:tcBorders>
            <w:noWrap/>
            <w:vAlign w:val="bottom"/>
            <w:hideMark/>
          </w:tcPr>
          <w:p w:rsidR="00DA2914" w:rsidRDefault="00DA2914">
            <w:pPr>
              <w:spacing w:line="276" w:lineRule="auto"/>
              <w:jc w:val="left"/>
              <w:rPr>
                <w:rFonts w:asciiTheme="minorHAnsi" w:eastAsiaTheme="minorHAnsi" w:hAnsiTheme="minorHAnsi"/>
                <w:sz w:val="22"/>
                <w:szCs w:val="22"/>
                <w:lang w:eastAsia="en-US"/>
              </w:rPr>
            </w:pPr>
          </w:p>
        </w:tc>
      </w:tr>
      <w:tr w:rsidR="00DA2914" w:rsidTr="00DA2914">
        <w:trPr>
          <w:trHeight w:val="285"/>
        </w:trPr>
        <w:tc>
          <w:tcPr>
            <w:tcW w:w="866" w:type="dxa"/>
            <w:tcBorders>
              <w:top w:val="single" w:sz="6" w:space="0" w:color="auto"/>
              <w:left w:val="threeDEmboss" w:sz="24" w:space="0" w:color="auto"/>
              <w:bottom w:val="single" w:sz="6" w:space="0" w:color="auto"/>
              <w:right w:val="single" w:sz="6" w:space="0" w:color="auto"/>
            </w:tcBorders>
            <w:noWrap/>
            <w:vAlign w:val="bottom"/>
            <w:hideMark/>
          </w:tcPr>
          <w:p w:rsidR="00DA2914" w:rsidRDefault="00DA2914">
            <w:pPr>
              <w:spacing w:before="60" w:after="60" w:line="276" w:lineRule="auto"/>
              <w:jc w:val="center"/>
              <w:rPr>
                <w:color w:val="000000"/>
                <w:szCs w:val="24"/>
                <w:lang w:eastAsia="en-US"/>
              </w:rPr>
            </w:pPr>
            <w:r>
              <w:rPr>
                <w:color w:val="000000"/>
                <w:szCs w:val="24"/>
                <w:lang w:eastAsia="en-US"/>
              </w:rPr>
              <w:t>14</w:t>
            </w:r>
          </w:p>
        </w:tc>
        <w:tc>
          <w:tcPr>
            <w:tcW w:w="1843" w:type="dxa"/>
            <w:tcBorders>
              <w:top w:val="single" w:sz="6" w:space="0" w:color="auto"/>
              <w:left w:val="single" w:sz="6" w:space="0" w:color="auto"/>
              <w:bottom w:val="single" w:sz="6" w:space="0" w:color="auto"/>
              <w:right w:val="single" w:sz="6" w:space="0" w:color="auto"/>
            </w:tcBorders>
            <w:noWrap/>
            <w:vAlign w:val="bottom"/>
            <w:hideMark/>
          </w:tcPr>
          <w:p w:rsidR="00DA2914" w:rsidRDefault="00DA2914">
            <w:pPr>
              <w:spacing w:before="60" w:after="60" w:line="276" w:lineRule="auto"/>
              <w:rPr>
                <w:color w:val="000000"/>
                <w:szCs w:val="24"/>
                <w:lang w:eastAsia="en-US"/>
              </w:rPr>
            </w:pPr>
            <w:r>
              <w:rPr>
                <w:color w:val="000000"/>
                <w:szCs w:val="24"/>
                <w:lang w:eastAsia="en-US"/>
              </w:rPr>
              <w:t>MT-45</w:t>
            </w:r>
          </w:p>
        </w:tc>
        <w:tc>
          <w:tcPr>
            <w:tcW w:w="2268" w:type="dxa"/>
            <w:tcBorders>
              <w:top w:val="single" w:sz="6" w:space="0" w:color="auto"/>
              <w:left w:val="single" w:sz="6" w:space="0" w:color="auto"/>
              <w:bottom w:val="single" w:sz="6" w:space="0" w:color="auto"/>
              <w:right w:val="single" w:sz="6" w:space="0" w:color="auto"/>
            </w:tcBorders>
            <w:noWrap/>
            <w:vAlign w:val="bottom"/>
            <w:hideMark/>
          </w:tcPr>
          <w:p w:rsidR="00DA2914" w:rsidRDefault="00DA2914">
            <w:pPr>
              <w:spacing w:before="60" w:after="60" w:line="276" w:lineRule="auto"/>
              <w:rPr>
                <w:color w:val="000000"/>
                <w:szCs w:val="24"/>
                <w:lang w:eastAsia="en-US"/>
              </w:rPr>
            </w:pPr>
            <w:r>
              <w:rPr>
                <w:color w:val="000000"/>
                <w:szCs w:val="24"/>
                <w:lang w:eastAsia="en-US"/>
              </w:rPr>
              <w:t>Piperaziny</w:t>
            </w:r>
          </w:p>
        </w:tc>
        <w:tc>
          <w:tcPr>
            <w:tcW w:w="850" w:type="dxa"/>
            <w:tcBorders>
              <w:top w:val="single" w:sz="6" w:space="0" w:color="auto"/>
              <w:left w:val="single" w:sz="6" w:space="0" w:color="auto"/>
              <w:bottom w:val="single" w:sz="6" w:space="0" w:color="auto"/>
              <w:right w:val="single" w:sz="6" w:space="0" w:color="auto"/>
            </w:tcBorders>
            <w:vAlign w:val="bottom"/>
          </w:tcPr>
          <w:p w:rsidR="00DA2914" w:rsidRDefault="00DA2914">
            <w:pPr>
              <w:spacing w:before="60" w:after="60" w:line="276" w:lineRule="auto"/>
              <w:jc w:val="center"/>
              <w:rPr>
                <w:color w:val="000000"/>
                <w:szCs w:val="24"/>
                <w:lang w:eastAsia="en-US"/>
              </w:rPr>
            </w:pP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DA2914" w:rsidRDefault="00DA2914">
            <w:pPr>
              <w:spacing w:before="60" w:after="60" w:line="276" w:lineRule="auto"/>
              <w:jc w:val="center"/>
              <w:rPr>
                <w:color w:val="000000"/>
                <w:szCs w:val="24"/>
                <w:lang w:eastAsia="en-US"/>
              </w:rPr>
            </w:pPr>
            <w:r>
              <w:rPr>
                <w:color w:val="000000"/>
                <w:szCs w:val="24"/>
                <w:lang w:eastAsia="en-US"/>
              </w:rPr>
              <w:t>N</w:t>
            </w:r>
          </w:p>
        </w:tc>
        <w:tc>
          <w:tcPr>
            <w:tcW w:w="850" w:type="dxa"/>
            <w:tcBorders>
              <w:top w:val="single" w:sz="6" w:space="0" w:color="auto"/>
              <w:left w:val="single" w:sz="6" w:space="0" w:color="auto"/>
              <w:bottom w:val="single" w:sz="6" w:space="0" w:color="auto"/>
              <w:right w:val="threeDEmboss" w:sz="24" w:space="0" w:color="auto"/>
            </w:tcBorders>
            <w:noWrap/>
            <w:vAlign w:val="bottom"/>
          </w:tcPr>
          <w:p w:rsidR="00DA2914" w:rsidRDefault="00DA2914">
            <w:pPr>
              <w:spacing w:before="60" w:after="60" w:line="276" w:lineRule="auto"/>
              <w:jc w:val="center"/>
              <w:rPr>
                <w:color w:val="000000"/>
                <w:szCs w:val="24"/>
                <w:lang w:eastAsia="en-US"/>
              </w:rPr>
            </w:pPr>
          </w:p>
        </w:tc>
      </w:tr>
      <w:tr w:rsidR="00DA2914" w:rsidTr="00DA2914">
        <w:trPr>
          <w:trHeight w:val="285"/>
        </w:trPr>
        <w:tc>
          <w:tcPr>
            <w:tcW w:w="866" w:type="dxa"/>
            <w:tcBorders>
              <w:top w:val="single" w:sz="6" w:space="0" w:color="auto"/>
              <w:left w:val="threeDEmboss" w:sz="24" w:space="0" w:color="auto"/>
              <w:bottom w:val="single" w:sz="6" w:space="0" w:color="auto"/>
              <w:right w:val="single" w:sz="6" w:space="0" w:color="auto"/>
            </w:tcBorders>
            <w:noWrap/>
            <w:vAlign w:val="bottom"/>
            <w:hideMark/>
          </w:tcPr>
          <w:p w:rsidR="00DA2914" w:rsidRDefault="00DA2914">
            <w:pPr>
              <w:spacing w:before="60" w:after="60" w:line="276" w:lineRule="auto"/>
              <w:jc w:val="center"/>
              <w:rPr>
                <w:color w:val="000000"/>
                <w:szCs w:val="24"/>
                <w:lang w:eastAsia="en-US"/>
              </w:rPr>
            </w:pPr>
            <w:r>
              <w:rPr>
                <w:color w:val="000000"/>
                <w:szCs w:val="24"/>
                <w:lang w:eastAsia="en-US"/>
              </w:rPr>
              <w:t>15</w:t>
            </w:r>
          </w:p>
        </w:tc>
        <w:tc>
          <w:tcPr>
            <w:tcW w:w="1843" w:type="dxa"/>
            <w:tcBorders>
              <w:top w:val="single" w:sz="6" w:space="0" w:color="auto"/>
              <w:left w:val="single" w:sz="6" w:space="0" w:color="auto"/>
              <w:bottom w:val="single" w:sz="6" w:space="0" w:color="auto"/>
              <w:right w:val="single" w:sz="6" w:space="0" w:color="auto"/>
            </w:tcBorders>
            <w:noWrap/>
            <w:vAlign w:val="bottom"/>
            <w:hideMark/>
          </w:tcPr>
          <w:p w:rsidR="00DA2914" w:rsidRDefault="00DA2914">
            <w:pPr>
              <w:spacing w:before="60" w:after="60" w:line="276" w:lineRule="auto"/>
              <w:rPr>
                <w:color w:val="000000"/>
                <w:szCs w:val="24"/>
                <w:lang w:eastAsia="en-US"/>
              </w:rPr>
            </w:pPr>
            <w:proofErr w:type="spellStart"/>
            <w:r>
              <w:rPr>
                <w:color w:val="000000"/>
                <w:szCs w:val="24"/>
                <w:lang w:eastAsia="en-US"/>
              </w:rPr>
              <w:t>Pentedron</w:t>
            </w:r>
            <w:proofErr w:type="spellEnd"/>
          </w:p>
        </w:tc>
        <w:tc>
          <w:tcPr>
            <w:tcW w:w="2268" w:type="dxa"/>
            <w:tcBorders>
              <w:top w:val="single" w:sz="6" w:space="0" w:color="auto"/>
              <w:left w:val="single" w:sz="6" w:space="0" w:color="auto"/>
              <w:bottom w:val="single" w:sz="6" w:space="0" w:color="auto"/>
              <w:right w:val="single" w:sz="6" w:space="0" w:color="auto"/>
            </w:tcBorders>
            <w:noWrap/>
            <w:vAlign w:val="bottom"/>
            <w:hideMark/>
          </w:tcPr>
          <w:p w:rsidR="00DA2914" w:rsidRDefault="00DA2914">
            <w:pPr>
              <w:spacing w:before="60" w:after="60" w:line="276" w:lineRule="auto"/>
              <w:rPr>
                <w:color w:val="000000"/>
                <w:szCs w:val="24"/>
                <w:lang w:eastAsia="en-US"/>
              </w:rPr>
            </w:pPr>
            <w:proofErr w:type="spellStart"/>
            <w:r>
              <w:rPr>
                <w:color w:val="000000"/>
                <w:szCs w:val="24"/>
                <w:lang w:eastAsia="en-US"/>
              </w:rPr>
              <w:t>Katinony</w:t>
            </w:r>
            <w:proofErr w:type="spellEnd"/>
          </w:p>
        </w:tc>
        <w:tc>
          <w:tcPr>
            <w:tcW w:w="850" w:type="dxa"/>
            <w:tcBorders>
              <w:top w:val="single" w:sz="6" w:space="0" w:color="auto"/>
              <w:left w:val="single" w:sz="6" w:space="0" w:color="auto"/>
              <w:bottom w:val="single" w:sz="6" w:space="0" w:color="auto"/>
              <w:right w:val="single" w:sz="6" w:space="0" w:color="auto"/>
            </w:tcBorders>
            <w:vAlign w:val="bottom"/>
          </w:tcPr>
          <w:p w:rsidR="00DA2914" w:rsidRDefault="00DA2914">
            <w:pPr>
              <w:spacing w:before="60" w:after="60" w:line="276" w:lineRule="auto"/>
              <w:jc w:val="center"/>
              <w:rPr>
                <w:color w:val="000000"/>
                <w:szCs w:val="24"/>
                <w:lang w:eastAsia="en-US"/>
              </w:rPr>
            </w:pP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DA2914" w:rsidRDefault="00DA2914">
            <w:pPr>
              <w:spacing w:line="276" w:lineRule="auto"/>
              <w:jc w:val="left"/>
              <w:rPr>
                <w:rFonts w:asciiTheme="minorHAnsi" w:eastAsiaTheme="minorHAnsi" w:hAnsiTheme="minorHAnsi"/>
                <w:sz w:val="22"/>
                <w:szCs w:val="22"/>
                <w:lang w:eastAsia="en-US"/>
              </w:rPr>
            </w:pPr>
          </w:p>
        </w:tc>
        <w:tc>
          <w:tcPr>
            <w:tcW w:w="850" w:type="dxa"/>
            <w:tcBorders>
              <w:top w:val="single" w:sz="6" w:space="0" w:color="auto"/>
              <w:left w:val="single" w:sz="6" w:space="0" w:color="auto"/>
              <w:bottom w:val="single" w:sz="6" w:space="0" w:color="auto"/>
              <w:right w:val="threeDEmboss" w:sz="24" w:space="0" w:color="auto"/>
            </w:tcBorders>
            <w:noWrap/>
            <w:vAlign w:val="bottom"/>
            <w:hideMark/>
          </w:tcPr>
          <w:p w:rsidR="00DA2914" w:rsidRDefault="00DA2914">
            <w:pPr>
              <w:spacing w:before="60" w:after="60" w:line="276" w:lineRule="auto"/>
              <w:jc w:val="center"/>
              <w:rPr>
                <w:color w:val="000000"/>
                <w:szCs w:val="24"/>
                <w:lang w:eastAsia="en-US"/>
              </w:rPr>
            </w:pPr>
            <w:r>
              <w:rPr>
                <w:color w:val="000000"/>
                <w:szCs w:val="24"/>
                <w:lang w:eastAsia="en-US"/>
              </w:rPr>
              <w:t>X</w:t>
            </w:r>
          </w:p>
        </w:tc>
      </w:tr>
      <w:tr w:rsidR="00DA2914" w:rsidTr="00DA2914">
        <w:trPr>
          <w:trHeight w:val="285"/>
        </w:trPr>
        <w:tc>
          <w:tcPr>
            <w:tcW w:w="866" w:type="dxa"/>
            <w:tcBorders>
              <w:top w:val="single" w:sz="6" w:space="0" w:color="auto"/>
              <w:left w:val="threeDEmboss" w:sz="24" w:space="0" w:color="auto"/>
              <w:bottom w:val="threeDEmboss" w:sz="24" w:space="0" w:color="auto"/>
              <w:right w:val="single" w:sz="6" w:space="0" w:color="auto"/>
            </w:tcBorders>
            <w:noWrap/>
            <w:vAlign w:val="bottom"/>
            <w:hideMark/>
          </w:tcPr>
          <w:p w:rsidR="00DA2914" w:rsidRDefault="00DA2914">
            <w:pPr>
              <w:spacing w:before="60" w:after="60" w:line="276" w:lineRule="auto"/>
              <w:jc w:val="center"/>
              <w:rPr>
                <w:color w:val="000000"/>
                <w:szCs w:val="24"/>
                <w:lang w:eastAsia="en-US"/>
              </w:rPr>
            </w:pPr>
            <w:r>
              <w:rPr>
                <w:color w:val="000000"/>
                <w:szCs w:val="24"/>
                <w:lang w:eastAsia="en-US"/>
              </w:rPr>
              <w:t>16</w:t>
            </w:r>
          </w:p>
        </w:tc>
        <w:tc>
          <w:tcPr>
            <w:tcW w:w="1843" w:type="dxa"/>
            <w:tcBorders>
              <w:top w:val="single" w:sz="6" w:space="0" w:color="auto"/>
              <w:left w:val="single" w:sz="6" w:space="0" w:color="auto"/>
              <w:bottom w:val="threeDEmboss" w:sz="24" w:space="0" w:color="auto"/>
              <w:right w:val="single" w:sz="6" w:space="0" w:color="auto"/>
            </w:tcBorders>
            <w:noWrap/>
            <w:vAlign w:val="bottom"/>
            <w:hideMark/>
          </w:tcPr>
          <w:p w:rsidR="00DA2914" w:rsidRDefault="00DA2914">
            <w:pPr>
              <w:spacing w:before="60" w:after="60" w:line="276" w:lineRule="auto"/>
              <w:rPr>
                <w:color w:val="000000"/>
                <w:szCs w:val="24"/>
                <w:lang w:eastAsia="en-US"/>
              </w:rPr>
            </w:pPr>
            <w:r>
              <w:rPr>
                <w:color w:val="000000"/>
                <w:szCs w:val="24"/>
                <w:lang w:eastAsia="en-US"/>
              </w:rPr>
              <w:sym w:font="Symbol" w:char="F061"/>
            </w:r>
            <w:r>
              <w:rPr>
                <w:color w:val="000000"/>
                <w:szCs w:val="24"/>
                <w:lang w:eastAsia="en-US"/>
              </w:rPr>
              <w:t>-PVP</w:t>
            </w:r>
          </w:p>
        </w:tc>
        <w:tc>
          <w:tcPr>
            <w:tcW w:w="2268" w:type="dxa"/>
            <w:tcBorders>
              <w:top w:val="single" w:sz="6" w:space="0" w:color="auto"/>
              <w:left w:val="single" w:sz="6" w:space="0" w:color="auto"/>
              <w:bottom w:val="threeDEmboss" w:sz="24" w:space="0" w:color="auto"/>
              <w:right w:val="single" w:sz="6" w:space="0" w:color="auto"/>
            </w:tcBorders>
            <w:noWrap/>
            <w:vAlign w:val="bottom"/>
            <w:hideMark/>
          </w:tcPr>
          <w:p w:rsidR="00DA2914" w:rsidRDefault="00DA2914">
            <w:pPr>
              <w:spacing w:before="60" w:after="60" w:line="276" w:lineRule="auto"/>
              <w:rPr>
                <w:color w:val="000000"/>
                <w:szCs w:val="24"/>
                <w:lang w:eastAsia="en-US"/>
              </w:rPr>
            </w:pPr>
            <w:proofErr w:type="spellStart"/>
            <w:r>
              <w:rPr>
                <w:color w:val="000000"/>
                <w:szCs w:val="24"/>
                <w:lang w:eastAsia="en-US"/>
              </w:rPr>
              <w:t>Katinony</w:t>
            </w:r>
            <w:proofErr w:type="spellEnd"/>
          </w:p>
        </w:tc>
        <w:tc>
          <w:tcPr>
            <w:tcW w:w="850" w:type="dxa"/>
            <w:tcBorders>
              <w:top w:val="single" w:sz="6" w:space="0" w:color="auto"/>
              <w:left w:val="single" w:sz="6" w:space="0" w:color="auto"/>
              <w:bottom w:val="threeDEmboss" w:sz="24" w:space="0" w:color="auto"/>
              <w:right w:val="single" w:sz="6" w:space="0" w:color="auto"/>
            </w:tcBorders>
            <w:vAlign w:val="bottom"/>
          </w:tcPr>
          <w:p w:rsidR="00DA2914" w:rsidRDefault="00DA2914">
            <w:pPr>
              <w:spacing w:before="60" w:after="60" w:line="276" w:lineRule="auto"/>
              <w:jc w:val="center"/>
              <w:rPr>
                <w:color w:val="000000"/>
                <w:szCs w:val="24"/>
                <w:lang w:eastAsia="en-US"/>
              </w:rPr>
            </w:pPr>
          </w:p>
        </w:tc>
        <w:tc>
          <w:tcPr>
            <w:tcW w:w="851" w:type="dxa"/>
            <w:tcBorders>
              <w:top w:val="single" w:sz="6" w:space="0" w:color="auto"/>
              <w:left w:val="single" w:sz="6" w:space="0" w:color="auto"/>
              <w:bottom w:val="threeDEmboss" w:sz="24" w:space="0" w:color="auto"/>
              <w:right w:val="single" w:sz="6" w:space="0" w:color="auto"/>
            </w:tcBorders>
            <w:noWrap/>
            <w:vAlign w:val="bottom"/>
            <w:hideMark/>
          </w:tcPr>
          <w:p w:rsidR="00DA2914" w:rsidRDefault="00DA2914">
            <w:pPr>
              <w:spacing w:line="276" w:lineRule="auto"/>
              <w:jc w:val="left"/>
              <w:rPr>
                <w:rFonts w:asciiTheme="minorHAnsi" w:eastAsiaTheme="minorHAnsi" w:hAnsiTheme="minorHAnsi"/>
                <w:sz w:val="22"/>
                <w:szCs w:val="22"/>
                <w:lang w:eastAsia="en-US"/>
              </w:rPr>
            </w:pPr>
          </w:p>
        </w:tc>
        <w:tc>
          <w:tcPr>
            <w:tcW w:w="850" w:type="dxa"/>
            <w:tcBorders>
              <w:top w:val="single" w:sz="6" w:space="0" w:color="auto"/>
              <w:left w:val="single" w:sz="6" w:space="0" w:color="auto"/>
              <w:bottom w:val="threeDEmboss" w:sz="24" w:space="0" w:color="auto"/>
              <w:right w:val="threeDEmboss" w:sz="24" w:space="0" w:color="auto"/>
            </w:tcBorders>
            <w:noWrap/>
            <w:vAlign w:val="bottom"/>
            <w:hideMark/>
          </w:tcPr>
          <w:p w:rsidR="00DA2914" w:rsidRDefault="00DA2914">
            <w:pPr>
              <w:spacing w:before="60" w:after="60" w:line="276" w:lineRule="auto"/>
              <w:jc w:val="center"/>
              <w:rPr>
                <w:color w:val="000000"/>
                <w:szCs w:val="24"/>
                <w:lang w:eastAsia="en-US"/>
              </w:rPr>
            </w:pPr>
            <w:r>
              <w:rPr>
                <w:color w:val="000000"/>
                <w:szCs w:val="24"/>
                <w:lang w:eastAsia="en-US"/>
              </w:rPr>
              <w:t>X</w:t>
            </w:r>
          </w:p>
        </w:tc>
      </w:tr>
    </w:tbl>
    <w:p w:rsidR="00DA2914" w:rsidRDefault="00DA2914" w:rsidP="00DA2914">
      <w:r>
        <w:t>X – jedná se o finální rozhodnutí</w:t>
      </w:r>
    </w:p>
    <w:p w:rsidR="00DA2914" w:rsidRDefault="00DA2914" w:rsidP="00DA2914">
      <w:r>
        <w:t>N – jedná se návrh</w:t>
      </w:r>
    </w:p>
    <w:p w:rsidR="00DA2914" w:rsidRDefault="00DA2914" w:rsidP="00DA2914">
      <w:pPr>
        <w:ind w:firstLine="709"/>
        <w:rPr>
          <w:szCs w:val="24"/>
        </w:rPr>
      </w:pPr>
    </w:p>
    <w:p w:rsidR="00DA2914" w:rsidRDefault="00DA2914" w:rsidP="00DA2914">
      <w:pPr>
        <w:ind w:firstLine="709"/>
        <w:rPr>
          <w:szCs w:val="24"/>
        </w:rPr>
      </w:pPr>
      <w:r>
        <w:rPr>
          <w:szCs w:val="24"/>
        </w:rPr>
        <w:t>Všechny zařazované látky jsou chemické speciality, které nemají průmyslové ani terapeutické využití. V současné chvíli je známé pouze jejich zneužití jako nelegálních drog. U většiny výše uvedených látek nacházíme strukturní podobnost s psychotropními látkami uvedenými v příloze č. 4 k nařízení vlády. Jedná se tak o analogy těchto látek.</w:t>
      </w:r>
    </w:p>
    <w:p w:rsidR="00DA2914" w:rsidRDefault="00DA2914" w:rsidP="00DA2914">
      <w:pPr>
        <w:ind w:firstLine="709"/>
        <w:rPr>
          <w:szCs w:val="24"/>
        </w:rPr>
      </w:pPr>
    </w:p>
    <w:p w:rsidR="00DA2914" w:rsidRDefault="00DA2914" w:rsidP="00DA2914">
      <w:pPr>
        <w:ind w:firstLine="709"/>
        <w:rPr>
          <w:szCs w:val="24"/>
        </w:rPr>
      </w:pPr>
      <w:r>
        <w:rPr>
          <w:szCs w:val="24"/>
        </w:rPr>
        <w:t>S ohledem na výše uvedené skutečnosti se proto navrhuje zařazení všech 16 látek do přílohy č. 4 k nařízení vlády. Využití těchto látek tak bude možné pouze k omezeným výzkumným, vědeckým a velmi omezeným terapeutickým účelům. Toto opatření se jeví jako logické a systémové nejen z pohledu legálního zacházení s těmito látkami, ale též z pohledu trestního práva.</w:t>
      </w:r>
    </w:p>
    <w:p w:rsidR="00DA2914" w:rsidRDefault="00DA2914" w:rsidP="00DA2914">
      <w:pPr>
        <w:ind w:firstLine="709"/>
        <w:rPr>
          <w:szCs w:val="24"/>
        </w:rPr>
      </w:pPr>
    </w:p>
    <w:p w:rsidR="00DA2914" w:rsidRDefault="00DA2914" w:rsidP="00DA2914">
      <w:pPr>
        <w:ind w:firstLine="709"/>
        <w:rPr>
          <w:szCs w:val="24"/>
        </w:rPr>
      </w:pPr>
      <w:r>
        <w:rPr>
          <w:szCs w:val="24"/>
        </w:rPr>
        <w:t>Nevyřešení stávající situace a nepřijetí potřebných legislativních změn by mohlo vést ke stavu, kdy by orgány činné v trestním řízení nemohly legálně reagovat a postihovat obchod s novými syntetickými drogami, což by ve svém konečném důsledku mohlo vést k ohrožení zdraví občanů.</w:t>
      </w:r>
    </w:p>
    <w:p w:rsidR="00DA2914" w:rsidRDefault="00DA2914" w:rsidP="00DA2914">
      <w:pPr>
        <w:ind w:firstLine="709"/>
        <w:rPr>
          <w:szCs w:val="24"/>
        </w:rPr>
      </w:pPr>
    </w:p>
    <w:p w:rsidR="00DA2914" w:rsidRDefault="00DA2914" w:rsidP="00DA2914">
      <w:pPr>
        <w:ind w:firstLine="709"/>
        <w:rPr>
          <w:szCs w:val="24"/>
        </w:rPr>
      </w:pPr>
      <w:r>
        <w:rPr>
          <w:szCs w:val="24"/>
        </w:rPr>
        <w:t>Plánem legislativních prací vlády na rok 2015, schváleným usnesením vlády ze dne 15. prosince 2014 č. 1056 bylo stanoveno, že k novelizovanému nařízení vlády se nevypracovává RIA.</w:t>
      </w:r>
    </w:p>
    <w:p w:rsidR="00DA2914" w:rsidRDefault="00DA2914" w:rsidP="00DA2914">
      <w:pPr>
        <w:ind w:firstLine="709"/>
        <w:rPr>
          <w:szCs w:val="24"/>
        </w:rPr>
      </w:pPr>
    </w:p>
    <w:p w:rsidR="00DB3CB5" w:rsidRDefault="00DA2914" w:rsidP="00DB3CB5">
      <w:pPr>
        <w:ind w:firstLine="709"/>
        <w:rPr>
          <w:szCs w:val="24"/>
        </w:rPr>
      </w:pPr>
      <w:r>
        <w:rPr>
          <w:szCs w:val="24"/>
        </w:rPr>
        <w:t>Vzhledem ke skutečnosti, že se jedná o technický předpis, bylo nařízení vlády oznámeno Evropské komisi v souladu se směrnicí Evropského parlamentu a Rady 98/34/ES ze dne 22. června 1998 o postupu při poskytování informací v oblasti norem a technických předpisů a předpisů pro služby informační společnosti, v platném znění.</w:t>
      </w:r>
    </w:p>
    <w:p w:rsidR="00DB3CB5" w:rsidRDefault="00DB3CB5" w:rsidP="00DB3CB5">
      <w:pPr>
        <w:ind w:firstLine="709"/>
        <w:rPr>
          <w:szCs w:val="24"/>
        </w:rPr>
      </w:pPr>
    </w:p>
    <w:p w:rsidR="00DA2914" w:rsidRPr="00DB3CB5" w:rsidRDefault="00DA2914" w:rsidP="00DB3CB5">
      <w:pPr>
        <w:ind w:firstLine="709"/>
        <w:rPr>
          <w:szCs w:val="24"/>
        </w:rPr>
      </w:pPr>
      <w:r>
        <w:rPr>
          <w:b/>
          <w:szCs w:val="24"/>
        </w:rPr>
        <w:t>Zhodnocení souladu navrhované právní úpravy se zákonem, k jehož provedení je navržena, včetně souladu se zákonným zmocněním k jejímu vydání</w:t>
      </w:r>
    </w:p>
    <w:p w:rsidR="00DA2914" w:rsidRDefault="00DA2914" w:rsidP="00DA2914">
      <w:pPr>
        <w:ind w:firstLine="709"/>
        <w:rPr>
          <w:b/>
          <w:szCs w:val="24"/>
        </w:rPr>
      </w:pPr>
    </w:p>
    <w:p w:rsidR="00DA2914" w:rsidRDefault="00DA2914" w:rsidP="00DA2914">
      <w:pPr>
        <w:ind w:firstLine="709"/>
        <w:rPr>
          <w:szCs w:val="24"/>
        </w:rPr>
      </w:pPr>
      <w:r>
        <w:rPr>
          <w:szCs w:val="24"/>
        </w:rPr>
        <w:t>Návrh novelizace nařízení vlády je zcela v souladu se zákonem č. 167/1998 Sb.,</w:t>
      </w:r>
      <w:r>
        <w:rPr>
          <w:szCs w:val="24"/>
        </w:rPr>
        <w:br/>
        <w:t>o návykových látkách a o změně některých dalších zákonů, ve znění zákona č.273/2013 Sb.,</w:t>
      </w:r>
      <w:r>
        <w:rPr>
          <w:szCs w:val="24"/>
        </w:rPr>
        <w:br/>
        <w:t xml:space="preserve">a se zmocněním uvedeném v § 44c odst. 1 a odst. 2 cit. </w:t>
      </w:r>
      <w:proofErr w:type="gramStart"/>
      <w:r>
        <w:rPr>
          <w:szCs w:val="24"/>
        </w:rPr>
        <w:t>zákona</w:t>
      </w:r>
      <w:proofErr w:type="gramEnd"/>
      <w:r>
        <w:rPr>
          <w:szCs w:val="24"/>
        </w:rPr>
        <w:t>, k jehož provedení se navrhuje.</w:t>
      </w:r>
    </w:p>
    <w:p w:rsidR="00DA2914" w:rsidRDefault="00DA2914" w:rsidP="00DA2914">
      <w:pPr>
        <w:ind w:firstLine="709"/>
        <w:rPr>
          <w:szCs w:val="24"/>
        </w:rPr>
      </w:pPr>
    </w:p>
    <w:p w:rsidR="00DA2914" w:rsidRDefault="00DA2914" w:rsidP="00DA2914">
      <w:pPr>
        <w:ind w:firstLine="709"/>
        <w:rPr>
          <w:szCs w:val="24"/>
        </w:rPr>
      </w:pPr>
    </w:p>
    <w:p w:rsidR="00DA2914" w:rsidRDefault="00DA2914" w:rsidP="00DA2914">
      <w:pPr>
        <w:suppressAutoHyphens/>
        <w:rPr>
          <w:rFonts w:cs="Arial"/>
          <w:b/>
        </w:rPr>
      </w:pPr>
      <w:r>
        <w:rPr>
          <w:rFonts w:cs="Arial"/>
          <w:b/>
        </w:rPr>
        <w:t xml:space="preserve">Zhodnocení souladu navrhované právní úpravy s předpisy Evropské unie, judikaturou soudních orgánů Evropské unie a obecnými právními zásadami práva Evropské unie </w:t>
      </w:r>
      <w:r>
        <w:rPr>
          <w:rFonts w:cs="Arial"/>
          <w:b/>
        </w:rPr>
        <w:br/>
        <w:t>a mezinárodními úmluvami</w:t>
      </w:r>
    </w:p>
    <w:p w:rsidR="00DA2914" w:rsidRDefault="00DA2914" w:rsidP="00DA2914">
      <w:pPr>
        <w:ind w:firstLine="709"/>
        <w:rPr>
          <w:szCs w:val="24"/>
        </w:rPr>
      </w:pPr>
    </w:p>
    <w:p w:rsidR="00DA2914" w:rsidRDefault="00DA2914" w:rsidP="00DA2914">
      <w:pPr>
        <w:pStyle w:val="Textodstavce"/>
        <w:numPr>
          <w:ilvl w:val="0"/>
          <w:numId w:val="0"/>
        </w:numPr>
        <w:spacing w:before="0"/>
        <w:ind w:right="227" w:firstLine="709"/>
      </w:pPr>
      <w:r>
        <w:t>Návrh novelizace nařízení vlády je slučitelný s právními akty práva Evropské unie, kterým je:</w:t>
      </w:r>
    </w:p>
    <w:p w:rsidR="00DA2914" w:rsidRDefault="00DA2914" w:rsidP="00DA2914">
      <w:pPr>
        <w:pStyle w:val="Odstavecseseznamem"/>
        <w:numPr>
          <w:ilvl w:val="0"/>
          <w:numId w:val="2"/>
        </w:numPr>
      </w:pPr>
      <w:r>
        <w:rPr>
          <w:szCs w:val="24"/>
        </w:rPr>
        <w:t>prováděcí rozhodnutí Rady (2014/688/EU) ze dne 25. září 2014 o podrobení látek 4-</w:t>
      </w:r>
      <w:r>
        <w:rPr>
          <w:szCs w:val="24"/>
        </w:rPr>
        <w:br/>
        <w:t>-</w:t>
      </w:r>
      <w:proofErr w:type="gramStart"/>
      <w:r>
        <w:rPr>
          <w:szCs w:val="24"/>
        </w:rPr>
        <w:t>jód-2,5-dimethoxy-N</w:t>
      </w:r>
      <w:proofErr w:type="gramEnd"/>
      <w:r>
        <w:rPr>
          <w:szCs w:val="24"/>
        </w:rPr>
        <w:t>-(2-methoxybenzyl)</w:t>
      </w:r>
      <w:proofErr w:type="spellStart"/>
      <w:r>
        <w:rPr>
          <w:szCs w:val="24"/>
        </w:rPr>
        <w:t>fenethylamin</w:t>
      </w:r>
      <w:proofErr w:type="spellEnd"/>
      <w:r>
        <w:rPr>
          <w:szCs w:val="24"/>
        </w:rPr>
        <w:t xml:space="preserve"> (25I-NBOMe), 3,4- </w:t>
      </w:r>
      <w:proofErr w:type="spellStart"/>
      <w:r>
        <w:rPr>
          <w:szCs w:val="24"/>
        </w:rPr>
        <w:t>dichlor</w:t>
      </w:r>
      <w:proofErr w:type="spellEnd"/>
      <w:r>
        <w:rPr>
          <w:szCs w:val="24"/>
        </w:rPr>
        <w:t>-N-</w:t>
      </w:r>
      <w:r>
        <w:rPr>
          <w:szCs w:val="24"/>
        </w:rPr>
        <w:br/>
        <w:t>-[[1-(</w:t>
      </w:r>
      <w:proofErr w:type="spellStart"/>
      <w:r>
        <w:rPr>
          <w:szCs w:val="24"/>
        </w:rPr>
        <w:t>dimethylamino</w:t>
      </w:r>
      <w:proofErr w:type="spellEnd"/>
      <w:r>
        <w:rPr>
          <w:szCs w:val="24"/>
        </w:rPr>
        <w:t>)</w:t>
      </w:r>
      <w:proofErr w:type="spellStart"/>
      <w:r>
        <w:rPr>
          <w:szCs w:val="24"/>
        </w:rPr>
        <w:t>cyklohexyl</w:t>
      </w:r>
      <w:proofErr w:type="spellEnd"/>
      <w:r>
        <w:rPr>
          <w:szCs w:val="24"/>
        </w:rPr>
        <w:t>]</w:t>
      </w:r>
      <w:proofErr w:type="spellStart"/>
      <w:r>
        <w:rPr>
          <w:szCs w:val="24"/>
        </w:rPr>
        <w:t>methyl</w:t>
      </w:r>
      <w:proofErr w:type="spellEnd"/>
      <w:r>
        <w:rPr>
          <w:szCs w:val="24"/>
        </w:rPr>
        <w:t>]</w:t>
      </w:r>
      <w:proofErr w:type="spellStart"/>
      <w:r>
        <w:rPr>
          <w:szCs w:val="24"/>
        </w:rPr>
        <w:t>benzamid</w:t>
      </w:r>
      <w:proofErr w:type="spellEnd"/>
      <w:r>
        <w:rPr>
          <w:szCs w:val="24"/>
        </w:rPr>
        <w:t xml:space="preserve"> (AH-7921), 3,4-</w:t>
      </w:r>
      <w:r>
        <w:rPr>
          <w:szCs w:val="24"/>
        </w:rPr>
        <w:br/>
        <w:t>-</w:t>
      </w:r>
      <w:proofErr w:type="spellStart"/>
      <w:r>
        <w:rPr>
          <w:szCs w:val="24"/>
        </w:rPr>
        <w:t>methylendioxypyrovaleron</w:t>
      </w:r>
      <w:proofErr w:type="spellEnd"/>
      <w:r>
        <w:rPr>
          <w:szCs w:val="24"/>
        </w:rPr>
        <w:t xml:space="preserve"> (MDPV) a 2-(3-methoxyfenyl)-2-</w:t>
      </w:r>
      <w:r>
        <w:rPr>
          <w:szCs w:val="24"/>
        </w:rPr>
        <w:br/>
        <w:t>-(</w:t>
      </w:r>
      <w:proofErr w:type="spellStart"/>
      <w:r>
        <w:rPr>
          <w:szCs w:val="24"/>
        </w:rPr>
        <w:t>ethylamino</w:t>
      </w:r>
      <w:proofErr w:type="spellEnd"/>
      <w:r>
        <w:rPr>
          <w:szCs w:val="24"/>
        </w:rPr>
        <w:t>)cyklohexanon (</w:t>
      </w:r>
      <w:proofErr w:type="spellStart"/>
      <w:r>
        <w:rPr>
          <w:szCs w:val="24"/>
        </w:rPr>
        <w:t>methoxetamin</w:t>
      </w:r>
      <w:proofErr w:type="spellEnd"/>
      <w:r>
        <w:rPr>
          <w:szCs w:val="24"/>
        </w:rPr>
        <w:t>) kontrolním opatřením</w:t>
      </w:r>
    </w:p>
    <w:p w:rsidR="00DA2914" w:rsidRDefault="00DA2914" w:rsidP="00DA2914">
      <w:pPr>
        <w:ind w:firstLine="709"/>
        <w:rPr>
          <w:szCs w:val="24"/>
        </w:rPr>
      </w:pPr>
    </w:p>
    <w:p w:rsidR="00DA2914" w:rsidRDefault="00DA2914" w:rsidP="00DA2914">
      <w:pPr>
        <w:pStyle w:val="Textodstavce"/>
        <w:numPr>
          <w:ilvl w:val="0"/>
          <w:numId w:val="0"/>
        </w:numPr>
        <w:spacing w:before="0"/>
        <w:ind w:right="227" w:firstLine="709"/>
      </w:pPr>
      <w:r>
        <w:t>Návrh novelizace nařízení vlády je slučitelný s mezinárodními úmluvami, kterými jsou:</w:t>
      </w:r>
    </w:p>
    <w:p w:rsidR="00DA2914" w:rsidRDefault="00DA2914" w:rsidP="00DA2914">
      <w:pPr>
        <w:pStyle w:val="Odstavecseseznamem"/>
        <w:numPr>
          <w:ilvl w:val="0"/>
          <w:numId w:val="2"/>
        </w:numPr>
        <w:rPr>
          <w:szCs w:val="24"/>
        </w:rPr>
      </w:pPr>
      <w:r>
        <w:rPr>
          <w:szCs w:val="24"/>
        </w:rPr>
        <w:t>Jednotná Úmluva o omamných látkách z roku 1961 ve znění Protokolu o změnách Jednotné úmluvy o omamných látkách z roku 1961</w:t>
      </w:r>
    </w:p>
    <w:p w:rsidR="00DA2914" w:rsidRDefault="00DA2914" w:rsidP="00DA2914">
      <w:pPr>
        <w:pStyle w:val="Odstavecseseznamem"/>
        <w:numPr>
          <w:ilvl w:val="0"/>
          <w:numId w:val="2"/>
        </w:numPr>
        <w:rPr>
          <w:szCs w:val="24"/>
        </w:rPr>
      </w:pPr>
      <w:r>
        <w:rPr>
          <w:szCs w:val="24"/>
        </w:rPr>
        <w:t>Úmluva o psychotropních látkách z roku 1971</w:t>
      </w:r>
    </w:p>
    <w:p w:rsidR="00DA2914" w:rsidRDefault="00DA2914" w:rsidP="00DA2914">
      <w:pPr>
        <w:ind w:firstLine="709"/>
        <w:rPr>
          <w:szCs w:val="24"/>
        </w:rPr>
      </w:pPr>
    </w:p>
    <w:p w:rsidR="00DA2914" w:rsidRDefault="00DA2914" w:rsidP="00DA2914">
      <w:pPr>
        <w:ind w:firstLine="709"/>
        <w:rPr>
          <w:szCs w:val="24"/>
        </w:rPr>
      </w:pPr>
    </w:p>
    <w:p w:rsidR="00DA2914" w:rsidRDefault="00DA2914" w:rsidP="00DA2914">
      <w:pPr>
        <w:pStyle w:val="Zkladntext"/>
        <w:suppressAutoHyphens/>
        <w:rPr>
          <w:b/>
        </w:rPr>
      </w:pPr>
      <w:r>
        <w:rPr>
          <w:b/>
        </w:rPr>
        <w:t>Předpokládaný hospodářský a finanční dosah navrhované právní úpravy na státní rozpočet, ostatní veřejné rozpočty, na podnikatelské prostředí České republiky, dále sociální dopady, včetně dopadů na specifické skupiny obyvatel, zejména osoby sociálně slabé, osoby se zdravotním postižením a národnostní menšiny, a dopady na životní prostředí</w:t>
      </w:r>
    </w:p>
    <w:p w:rsidR="00DA2914" w:rsidRDefault="00DA2914" w:rsidP="00DA2914">
      <w:pPr>
        <w:ind w:firstLine="709"/>
        <w:rPr>
          <w:szCs w:val="24"/>
        </w:rPr>
      </w:pPr>
    </w:p>
    <w:p w:rsidR="00DA2914" w:rsidRDefault="00DA2914" w:rsidP="00DA2914">
      <w:pPr>
        <w:ind w:firstLine="709"/>
        <w:rPr>
          <w:szCs w:val="24"/>
        </w:rPr>
      </w:pPr>
      <w:r>
        <w:rPr>
          <w:szCs w:val="24"/>
        </w:rPr>
        <w:t xml:space="preserve">Návrh </w:t>
      </w:r>
      <w:r>
        <w:t xml:space="preserve">novelizace nařízení vlády </w:t>
      </w:r>
      <w:r>
        <w:rPr>
          <w:szCs w:val="24"/>
        </w:rPr>
        <w:t xml:space="preserve">s ohledem na úzké využití zařazovaných látek nepředpokládá hospodářské a finanční dopady na státní rozpočet, na ostatní veřejné rozpočty, ani na podnikatelské prostředí České republiky. </w:t>
      </w:r>
    </w:p>
    <w:p w:rsidR="00DA2914" w:rsidRDefault="00DA2914" w:rsidP="00DA2914">
      <w:pPr>
        <w:ind w:firstLine="709"/>
        <w:rPr>
          <w:szCs w:val="24"/>
        </w:rPr>
      </w:pPr>
    </w:p>
    <w:p w:rsidR="00DA2914" w:rsidRDefault="00DA2914" w:rsidP="00DA2914">
      <w:pPr>
        <w:ind w:firstLine="709"/>
        <w:rPr>
          <w:szCs w:val="24"/>
        </w:rPr>
      </w:pPr>
      <w:r>
        <w:rPr>
          <w:szCs w:val="24"/>
        </w:rPr>
        <w:t xml:space="preserve">Předkládaný návrh </w:t>
      </w:r>
      <w:r>
        <w:t xml:space="preserve">novelizace nařízení vlády s ohledem na svůj charakter </w:t>
      </w:r>
      <w:r>
        <w:rPr>
          <w:szCs w:val="24"/>
        </w:rPr>
        <w:t>nemá žádné negativní sociální dopady ani nemá žádné dopady na specifické skupiny obyvatel.</w:t>
      </w:r>
    </w:p>
    <w:p w:rsidR="00DA2914" w:rsidRDefault="00DA2914" w:rsidP="00DA2914">
      <w:pPr>
        <w:ind w:firstLine="709"/>
        <w:rPr>
          <w:szCs w:val="24"/>
        </w:rPr>
      </w:pPr>
    </w:p>
    <w:p w:rsidR="00DA2914" w:rsidRDefault="00DA2914" w:rsidP="00DA2914">
      <w:pPr>
        <w:ind w:firstLine="709"/>
        <w:rPr>
          <w:szCs w:val="24"/>
        </w:rPr>
      </w:pPr>
      <w:r>
        <w:rPr>
          <w:szCs w:val="24"/>
        </w:rPr>
        <w:t xml:space="preserve">Předkládaný návrh </w:t>
      </w:r>
      <w:r>
        <w:t xml:space="preserve">novelizace nařízení vlády </w:t>
      </w:r>
      <w:r>
        <w:rPr>
          <w:szCs w:val="24"/>
        </w:rPr>
        <w:t>nemá žádné negativní dopady na životní prostředí.</w:t>
      </w:r>
    </w:p>
    <w:p w:rsidR="00DA2914" w:rsidRDefault="00DA2914" w:rsidP="00DA2914">
      <w:pPr>
        <w:rPr>
          <w:b/>
          <w:sz w:val="22"/>
        </w:rPr>
      </w:pPr>
    </w:p>
    <w:p w:rsidR="00DA2914" w:rsidRDefault="00DA2914" w:rsidP="00DB3CB5">
      <w:pPr>
        <w:spacing w:after="200" w:line="276" w:lineRule="auto"/>
        <w:jc w:val="left"/>
        <w:rPr>
          <w:b/>
          <w:sz w:val="22"/>
        </w:rPr>
      </w:pPr>
      <w:r>
        <w:rPr>
          <w:b/>
          <w:sz w:val="22"/>
        </w:rPr>
        <w:br w:type="page"/>
      </w:r>
      <w:bookmarkStart w:id="0" w:name="_GoBack"/>
      <w:bookmarkEnd w:id="0"/>
      <w:r>
        <w:rPr>
          <w:b/>
        </w:rPr>
        <w:t>Zhodnocení současného stavu a dopadů navrhovaného řešení ve vztahu k zákazu diskriminace</w:t>
      </w:r>
    </w:p>
    <w:p w:rsidR="00DA2914" w:rsidRDefault="00DA2914" w:rsidP="00DA2914">
      <w:pPr>
        <w:ind w:firstLine="708"/>
      </w:pPr>
    </w:p>
    <w:p w:rsidR="00DA2914" w:rsidRDefault="00DA2914" w:rsidP="00DA2914">
      <w:pPr>
        <w:ind w:firstLine="708"/>
        <w:rPr>
          <w:b/>
        </w:rPr>
      </w:pPr>
      <w:r>
        <w:t>Navrhovaná právní úprava neobsahuje ustanovení, která by byla předmětem diskriminace.</w:t>
      </w:r>
    </w:p>
    <w:p w:rsidR="00DA2914" w:rsidRDefault="00DA2914" w:rsidP="00DA2914">
      <w:pPr>
        <w:rPr>
          <w:b/>
          <w:sz w:val="22"/>
        </w:rPr>
      </w:pPr>
    </w:p>
    <w:p w:rsidR="00DA2914" w:rsidRDefault="00DA2914" w:rsidP="00DA2914">
      <w:pPr>
        <w:rPr>
          <w:b/>
          <w:sz w:val="22"/>
        </w:rPr>
      </w:pPr>
    </w:p>
    <w:p w:rsidR="00DA2914" w:rsidRDefault="00DA2914" w:rsidP="00DA2914">
      <w:r>
        <w:rPr>
          <w:b/>
        </w:rPr>
        <w:t>Zhodnocení dopadů navrhovaného řešení ve vztahu k ochraně soukromí a osobních údajů</w:t>
      </w:r>
    </w:p>
    <w:p w:rsidR="00DA2914" w:rsidRDefault="00DA2914" w:rsidP="00DA2914">
      <w:pPr>
        <w:ind w:left="284" w:hanging="284"/>
        <w:rPr>
          <w:b/>
        </w:rPr>
      </w:pPr>
    </w:p>
    <w:p w:rsidR="00DA2914" w:rsidRDefault="00DA2914" w:rsidP="00DA2914">
      <w:pPr>
        <w:ind w:firstLine="709"/>
        <w:rPr>
          <w:b/>
        </w:rPr>
      </w:pPr>
      <w:r>
        <w:t>Navrhovaná právní úprava nemá vzhledem ke svému obsahu dopad na problematiku ochrany soukromí ani na problematiku ochrany osobních údajů.</w:t>
      </w:r>
    </w:p>
    <w:p w:rsidR="00DA2914" w:rsidRDefault="00DA2914" w:rsidP="00DA2914">
      <w:pPr>
        <w:ind w:left="284" w:hanging="284"/>
        <w:rPr>
          <w:b/>
        </w:rPr>
      </w:pPr>
    </w:p>
    <w:p w:rsidR="00DA2914" w:rsidRDefault="00DA2914" w:rsidP="00DA2914">
      <w:pPr>
        <w:ind w:left="284" w:hanging="284"/>
        <w:rPr>
          <w:b/>
        </w:rPr>
      </w:pPr>
    </w:p>
    <w:p w:rsidR="00DA2914" w:rsidRDefault="00DA2914" w:rsidP="00DA2914">
      <w:pPr>
        <w:ind w:left="284" w:hanging="284"/>
      </w:pPr>
      <w:r>
        <w:rPr>
          <w:b/>
        </w:rPr>
        <w:t>Zhodnocení korupčních rizik</w:t>
      </w:r>
    </w:p>
    <w:p w:rsidR="00DA2914" w:rsidRDefault="00DA2914" w:rsidP="00DA2914">
      <w:pPr>
        <w:rPr>
          <w:b/>
        </w:rPr>
      </w:pPr>
    </w:p>
    <w:p w:rsidR="00DA2914" w:rsidRDefault="00DA2914" w:rsidP="00DA2914">
      <w:pPr>
        <w:ind w:firstLine="708"/>
      </w:pPr>
      <w:r>
        <w:rPr>
          <w:bCs/>
        </w:rPr>
        <w:t xml:space="preserve">Navrhovaná právní úprava </w:t>
      </w:r>
      <w:r>
        <w:t>nepředpokládá založení korupčních rizik ani jejich nárůst.</w:t>
      </w:r>
    </w:p>
    <w:p w:rsidR="00DA2914" w:rsidRDefault="00DA2914" w:rsidP="00DA2914">
      <w:pPr>
        <w:ind w:firstLine="709"/>
        <w:rPr>
          <w:szCs w:val="24"/>
        </w:rPr>
      </w:pPr>
    </w:p>
    <w:p w:rsidR="00DA2914" w:rsidRDefault="00DA2914" w:rsidP="00DA2914">
      <w:pPr>
        <w:ind w:firstLine="709"/>
        <w:rPr>
          <w:szCs w:val="24"/>
        </w:rPr>
      </w:pPr>
    </w:p>
    <w:p w:rsidR="00DA2914" w:rsidRDefault="00DA2914" w:rsidP="00DA2914">
      <w:pPr>
        <w:ind w:firstLine="709"/>
        <w:rPr>
          <w:szCs w:val="24"/>
        </w:rPr>
      </w:pPr>
    </w:p>
    <w:p w:rsidR="00DA2914" w:rsidRDefault="00DA2914" w:rsidP="00DA2914">
      <w:pPr>
        <w:jc w:val="center"/>
        <w:rPr>
          <w:rFonts w:ascii="Arial" w:hAnsi="Arial" w:cs="Arial"/>
          <w:b/>
          <w:szCs w:val="24"/>
        </w:rPr>
      </w:pPr>
      <w:r>
        <w:rPr>
          <w:rFonts w:ascii="Arial" w:hAnsi="Arial" w:cs="Arial"/>
          <w:b/>
          <w:szCs w:val="24"/>
        </w:rPr>
        <w:t>II. ZVLÁŠTNÍ ČÁST</w:t>
      </w:r>
    </w:p>
    <w:p w:rsidR="00DA2914" w:rsidRDefault="00DA2914" w:rsidP="00DA2914">
      <w:pPr>
        <w:jc w:val="left"/>
        <w:rPr>
          <w:szCs w:val="24"/>
        </w:rPr>
      </w:pPr>
    </w:p>
    <w:p w:rsidR="00DA2914" w:rsidRDefault="00DA2914" w:rsidP="00DA2914">
      <w:pPr>
        <w:jc w:val="left"/>
        <w:rPr>
          <w:szCs w:val="24"/>
        </w:rPr>
      </w:pPr>
    </w:p>
    <w:p w:rsidR="00DA2914" w:rsidRDefault="00DA2914" w:rsidP="00DA2914">
      <w:pPr>
        <w:jc w:val="left"/>
        <w:rPr>
          <w:szCs w:val="24"/>
        </w:rPr>
      </w:pPr>
    </w:p>
    <w:p w:rsidR="00DA2914" w:rsidRDefault="00DA2914" w:rsidP="00DA2914">
      <w:pPr>
        <w:jc w:val="left"/>
        <w:rPr>
          <w:b/>
          <w:szCs w:val="24"/>
        </w:rPr>
      </w:pPr>
      <w:r>
        <w:rPr>
          <w:b/>
          <w:szCs w:val="24"/>
        </w:rPr>
        <w:t>K Čl. 1</w:t>
      </w:r>
    </w:p>
    <w:p w:rsidR="00DA2914" w:rsidRDefault="00DA2914" w:rsidP="00DA2914">
      <w:pPr>
        <w:jc w:val="left"/>
        <w:rPr>
          <w:b/>
          <w:szCs w:val="24"/>
        </w:rPr>
      </w:pPr>
    </w:p>
    <w:p w:rsidR="00DA2914" w:rsidRDefault="00DA2914" w:rsidP="00DA2914">
      <w:pPr>
        <w:ind w:firstLine="709"/>
        <w:rPr>
          <w:szCs w:val="24"/>
        </w:rPr>
      </w:pPr>
      <w:r>
        <w:t xml:space="preserve">Látka AH-7921 se zařazuje do přílohy č. 4 k nařízení vlády v abecedním pořádku </w:t>
      </w:r>
      <w:r>
        <w:br/>
        <w:t xml:space="preserve">na základě </w:t>
      </w:r>
      <w:r>
        <w:rPr>
          <w:szCs w:val="24"/>
        </w:rPr>
        <w:t>prováděcího rozhodnutí Rady (2014/688/EU) ze dne 25. září 2014. Tímto rozhodnutím se Česká republika musí řídit a je povinna jeho podmínky splnit do 2. října 2015.</w:t>
      </w:r>
    </w:p>
    <w:p w:rsidR="00DA2914" w:rsidRDefault="00DA2914" w:rsidP="00DA2914">
      <w:pPr>
        <w:ind w:firstLine="709"/>
        <w:rPr>
          <w:szCs w:val="24"/>
        </w:rPr>
      </w:pPr>
    </w:p>
    <w:p w:rsidR="00DA2914" w:rsidRDefault="00DA2914" w:rsidP="00DA2914">
      <w:pPr>
        <w:ind w:firstLine="709"/>
      </w:pPr>
      <w:r>
        <w:t xml:space="preserve">Látka APINACA se zařazuje do přílohy č. 4 k nařízení vlády v abecedním pořádku </w:t>
      </w:r>
      <w:r>
        <w:br/>
        <w:t xml:space="preserve">na základě rozhodnutí pracovní skupiny EWS. Výskyt látky byl dosud hlášen v 17 evropských státech (BE, BG, HR, CZ, DK, FR, DE, HU, IT, LT, LV, NO, RO, ES, SE, TR, UK). Látka je kontrolovaná v 7 evropských státech (DK, DE, HU, LT, LV, SK, TR). Pokud jde o zdravotní rizika, ve Velké Británii byl v roce 2014 identifikován 1 případ úmrtí v souvislosti s tímto syntetickým </w:t>
      </w:r>
      <w:proofErr w:type="spellStart"/>
      <w:r>
        <w:t>kanabinoidem</w:t>
      </w:r>
      <w:proofErr w:type="spellEnd"/>
      <w:r>
        <w:t>. V České republice byl hlášen výskyt této látky v roce 2013. Látka s daným označením byla v nabídce 2 českých e-</w:t>
      </w:r>
      <w:proofErr w:type="spellStart"/>
      <w:r>
        <w:t>shopů</w:t>
      </w:r>
      <w:proofErr w:type="spellEnd"/>
      <w:r>
        <w:t xml:space="preserve"> v roce 2013 a 3 e-</w:t>
      </w:r>
      <w:r>
        <w:br/>
        <w:t>-</w:t>
      </w:r>
      <w:proofErr w:type="spellStart"/>
      <w:r>
        <w:t>shopů</w:t>
      </w:r>
      <w:proofErr w:type="spellEnd"/>
      <w:r>
        <w:t xml:space="preserve"> v roce 2014.</w:t>
      </w:r>
    </w:p>
    <w:p w:rsidR="00DA2914" w:rsidRDefault="00DA2914" w:rsidP="00DA2914">
      <w:pPr>
        <w:ind w:firstLine="709"/>
      </w:pPr>
    </w:p>
    <w:p w:rsidR="00DA2914" w:rsidRDefault="00DA2914" w:rsidP="00DA2914">
      <w:pPr>
        <w:ind w:firstLine="709"/>
      </w:pPr>
      <w:r>
        <w:t xml:space="preserve">Látky 25B-NBOMe, 25C-NBOMe, 25I-NBOMe se zařazují do přílohy č. 4 k nařízení vlády v abecedním pořádku na základě doporučení WHO. Látku 25I-NBOMe navíc Česká republika musí zařadit na základě prováděcího rozhodnutí Rady (2014/688/EU) ze dne 25. září 2014. Ve všech případech jde o téměř identické chemické struktury ze skupiny </w:t>
      </w:r>
      <w:proofErr w:type="spellStart"/>
      <w:r>
        <w:t>fenetylaminů</w:t>
      </w:r>
      <w:proofErr w:type="spellEnd"/>
      <w:r>
        <w:t>, které se od sebe liší pouze rozdílným halogenovým prvkem v jejich struktuře, ovšem ve stejné pozici. Jak uvádí důvodové zprávy WHO, představují tyto látky vysoké zdravotní a sociální riziko spojené s jejich nelegálním zneužíváním.</w:t>
      </w:r>
    </w:p>
    <w:p w:rsidR="00DA2914" w:rsidRDefault="00DA2914" w:rsidP="00DA2914">
      <w:pPr>
        <w:ind w:firstLine="709"/>
      </w:pPr>
    </w:p>
    <w:p w:rsidR="00DA2914" w:rsidRDefault="00DA2914" w:rsidP="00DA2914">
      <w:pPr>
        <w:ind w:firstLine="709"/>
      </w:pPr>
      <w:r>
        <w:t xml:space="preserve">Látka </w:t>
      </w:r>
      <w:proofErr w:type="gramStart"/>
      <w:r>
        <w:t>4,4′-DMAR</w:t>
      </w:r>
      <w:proofErr w:type="gramEnd"/>
      <w:r>
        <w:t xml:space="preserve"> (4,4´-dimethylaminorex) se zařazuje do přílohy č. 4 k nařízení vlády v abecedním pořádku na základě rozhodnutí pracovní skupiny EWS a také na základě návrhu rozhodnutí Rady EU. 4,4'-DMAR je syntetický substituovaný derivát </w:t>
      </w:r>
      <w:proofErr w:type="spellStart"/>
      <w:r>
        <w:t>oxazolinu</w:t>
      </w:r>
      <w:proofErr w:type="spellEnd"/>
      <w:r>
        <w:t xml:space="preserve">. Jedná se o derivát </w:t>
      </w:r>
      <w:proofErr w:type="spellStart"/>
      <w:proofErr w:type="gramStart"/>
      <w:r>
        <w:t>aminorexu</w:t>
      </w:r>
      <w:proofErr w:type="spellEnd"/>
      <w:r>
        <w:t xml:space="preserve"> a 4-methylaminorexu</w:t>
      </w:r>
      <w:proofErr w:type="gramEnd"/>
      <w:r>
        <w:t xml:space="preserve"> (4-MAR), dvou syntetických stimulantů kontrolovaných podle Úmluvy o psychotropních látkách z roku 1971. Výskyt této látky byl dosud hlášen v 8 evropských státech (DK, FI, FR, HU, NL, RO, SE, UK). Látka je kontrolovaná ve 3 evropských státech (DK, HU, SI). V souvislosti s touto látkou bylo ve třech členských státech v období mezi červnem 2013 a červnem 2014 zaznamenáno 31 úmrtí. Ve většině případů byla látka 4,4'-DMAR buď příčinou smrti, nebo mohla ke smrti přispět společně s dalšími látkami. Jeden členský stát oznámil případ otravy bez následku smrti.</w:t>
      </w:r>
    </w:p>
    <w:p w:rsidR="00DA2914" w:rsidRDefault="00DA2914" w:rsidP="00DA2914">
      <w:pPr>
        <w:ind w:firstLine="709"/>
      </w:pPr>
    </w:p>
    <w:p w:rsidR="00DA2914" w:rsidRDefault="00DA2914" w:rsidP="00DA2914">
      <w:pPr>
        <w:ind w:firstLine="709"/>
      </w:pPr>
      <w:r>
        <w:t xml:space="preserve">Látka </w:t>
      </w:r>
      <w:proofErr w:type="gramStart"/>
      <w:r>
        <w:t>3,4-DMMC</w:t>
      </w:r>
      <w:proofErr w:type="gramEnd"/>
      <w:r>
        <w:t xml:space="preserve"> se zařazuje do přílohy č. 4 k nařízení vlády v abecedním pořádku </w:t>
      </w:r>
      <w:r>
        <w:br/>
        <w:t xml:space="preserve">na základě rozhodnutí pracovní skupiny EWS. Výskyt této látky byl dosud hlášen v 8 evropských státech (HU, HR, BG, NO, SE, CZ, DE a SI). Látka je kontrolovaná v 9 evropských státech (FR, DE, HU, IE, LT, PT, SK, TR, UK). Informace o zdravotních </w:t>
      </w:r>
      <w:r>
        <w:br/>
        <w:t>a sociálních rizicích nejsou dostupné. V České republice byl hlášen výskyt v letech 2011, 2012 a 2013. Látka s daným označením byla v nabídce 2 českých e-</w:t>
      </w:r>
      <w:proofErr w:type="spellStart"/>
      <w:r>
        <w:t>shopů</w:t>
      </w:r>
      <w:proofErr w:type="spellEnd"/>
      <w:r>
        <w:t xml:space="preserve"> v roce 2012, 3 v roce 2013 a 2 v roce 2014.</w:t>
      </w:r>
    </w:p>
    <w:p w:rsidR="00DA2914" w:rsidRDefault="00DA2914" w:rsidP="00DA2914">
      <w:pPr>
        <w:ind w:firstLine="709"/>
      </w:pPr>
    </w:p>
    <w:p w:rsidR="00DA2914" w:rsidRDefault="00DA2914" w:rsidP="00DA2914">
      <w:pPr>
        <w:ind w:firstLine="709"/>
      </w:pPr>
      <w:proofErr w:type="gramStart"/>
      <w:r>
        <w:t>Látka 4-FA</w:t>
      </w:r>
      <w:proofErr w:type="gramEnd"/>
      <w:r>
        <w:t xml:space="preserve"> se zařazuje do přílohy č. 4 k nařízení vlády v abecedním pořádku </w:t>
      </w:r>
      <w:r>
        <w:br/>
        <w:t xml:space="preserve">na základě rozhodnutí pracovní skupiny EWS. Výskyt této látky byl dosud hlášen ve 20 evropských státech (AT, BE, BU, HR, CZ, DK, EE, FI, FR, DE, EL, HU, IT, LV, NL, PL, SK, SI, SE, UK). Látka je kontrolovaná v 17 evropských státech (BE, DK, FI, FR, DE, HU, IT, LV, LT, NR, PL, PT, SK, SI, SE, TR, UK). Účinky této látky jsou srovnatelné </w:t>
      </w:r>
      <w:r>
        <w:br/>
        <w:t xml:space="preserve">s amfetaminem, jejich intenzita je však o něco slabší. </w:t>
      </w:r>
      <w:proofErr w:type="gramStart"/>
      <w:r>
        <w:t>Toxicita 4-FA</w:t>
      </w:r>
      <w:proofErr w:type="gramEnd"/>
      <w:r>
        <w:t xml:space="preserve"> je mírně vyšší, než </w:t>
      </w:r>
      <w:r>
        <w:br/>
        <w:t xml:space="preserve">v případě amfetaminu. Pokud jde o zdravotní rizika, ve Velké Británii byl v roce 2009 identifikován 1 případ úmrtí v souvislosti s 4-FA v kombinaci s dalšími látkami. V České republice byl hlášen výskyt této látky v letech 2010 a 2012. Látka s daným označením byla </w:t>
      </w:r>
      <w:r>
        <w:br/>
        <w:t>v nabídce 3 českých e-</w:t>
      </w:r>
      <w:proofErr w:type="spellStart"/>
      <w:r>
        <w:t>shopů</w:t>
      </w:r>
      <w:proofErr w:type="spellEnd"/>
      <w:r>
        <w:t xml:space="preserve"> v roce 2012, 3 v roce 2013 a 3 v roce 2014.</w:t>
      </w:r>
    </w:p>
    <w:p w:rsidR="00DA2914" w:rsidRDefault="00DA2914" w:rsidP="00DA2914">
      <w:pPr>
        <w:ind w:firstLine="709"/>
      </w:pPr>
    </w:p>
    <w:p w:rsidR="00DA2914" w:rsidRDefault="00DA2914" w:rsidP="00DA2914">
      <w:pPr>
        <w:ind w:firstLine="709"/>
      </w:pPr>
      <w:r>
        <w:t xml:space="preserve">Látka 5F-AKB48 se zařazuje do přílohy č. 4 k nařízení vlády v abecedním pořádku </w:t>
      </w:r>
      <w:r>
        <w:br/>
        <w:t xml:space="preserve">na základě rozhodnutí pracovní skupiny EWS. Výskyt této látky byl dosud hlášen ve 20 evropských státech (BE, HR, CY, CZ, DK, FI, FR, DE, HU, IE, IT, LT, LV, NO, RO, SI, ES, SE, TR, UK). Látka je kontrolovaná ve 4 evropských státech (DE, LV, SI, TR). Pokud jde </w:t>
      </w:r>
      <w:r>
        <w:br/>
        <w:t xml:space="preserve">o zdravotní rizika, ve Velké Británii byly v roce 2014 identifikovány 2 případy úmrtí </w:t>
      </w:r>
      <w:r>
        <w:br/>
        <w:t xml:space="preserve">v souvislosti s tímto syntetickým </w:t>
      </w:r>
      <w:proofErr w:type="spellStart"/>
      <w:r>
        <w:t>kanabinoidem</w:t>
      </w:r>
      <w:proofErr w:type="spellEnd"/>
      <w:r>
        <w:t>, V roce 2013 ve Švédsku došlo ke 2 případům úmrtí v souvislosti s užitím této látky. Látka s daným označením byla v nabídce 3 českých e-</w:t>
      </w:r>
      <w:proofErr w:type="spellStart"/>
      <w:r>
        <w:t>shopů</w:t>
      </w:r>
      <w:proofErr w:type="spellEnd"/>
      <w:r>
        <w:t xml:space="preserve"> v roce 2013 a 3 v roce 2014.</w:t>
      </w:r>
    </w:p>
    <w:p w:rsidR="00DA2914" w:rsidRDefault="00DA2914" w:rsidP="00DA2914">
      <w:pPr>
        <w:ind w:firstLine="709"/>
      </w:pPr>
    </w:p>
    <w:p w:rsidR="00DA2914" w:rsidRDefault="00DA2914" w:rsidP="00DA2914">
      <w:pPr>
        <w:ind w:firstLine="709"/>
      </w:pPr>
      <w:proofErr w:type="gramStart"/>
      <w:r>
        <w:t>Látka 3-FMC</w:t>
      </w:r>
      <w:proofErr w:type="gramEnd"/>
      <w:r>
        <w:t xml:space="preserve"> se zařazuje do přílohy č. 4 k nařízení vlády v abecedním pořádku </w:t>
      </w:r>
      <w:r>
        <w:br/>
        <w:t>na základě rozhodnutí pracovní skupiny EWS. Výskyt této látky byl dosud hlášen ve 13 evropských státech (UK, AT, BE, BG, HR, CZ, FI, FR, DE, IT, LV, PL, SI). Látka je kontrolovaná ve 14 evropských státech (EE, FI, FR, DE, HU, IE, LV, LT, PT, RO, SK, SE, TR, UK). Informace o zdravotních a sociálních rizicích nejsou dostupné. V České republice byl hlášen výskyt této látky v letech 2012 a 2013. Látka s daným označením byla v nabídce 1 českého e-</w:t>
      </w:r>
      <w:proofErr w:type="spellStart"/>
      <w:r>
        <w:t>shopu</w:t>
      </w:r>
      <w:proofErr w:type="spellEnd"/>
      <w:r>
        <w:t xml:space="preserve"> v roce 2012, 2 e-</w:t>
      </w:r>
      <w:proofErr w:type="spellStart"/>
      <w:r>
        <w:t>shopů</w:t>
      </w:r>
      <w:proofErr w:type="spellEnd"/>
      <w:r>
        <w:t xml:space="preserve"> v roce 2013 a 2 v roce 2014.</w:t>
      </w:r>
    </w:p>
    <w:p w:rsidR="00DA2914" w:rsidRDefault="00DA2914" w:rsidP="00DA2914">
      <w:pPr>
        <w:ind w:firstLine="709"/>
      </w:pPr>
    </w:p>
    <w:p w:rsidR="00DA2914" w:rsidRDefault="00DA2914" w:rsidP="00DA2914">
      <w:pPr>
        <w:ind w:firstLine="709"/>
      </w:pPr>
      <w:proofErr w:type="gramStart"/>
      <w:r>
        <w:t>Látka 3-MEC</w:t>
      </w:r>
      <w:proofErr w:type="gramEnd"/>
      <w:r>
        <w:t xml:space="preserve"> se zařazuje do přílohy č. 4 k nařízení vlády v abecedním pořádku </w:t>
      </w:r>
      <w:r>
        <w:br/>
        <w:t xml:space="preserve">na základě rozhodnutí pracovní skupiny EWS. Tato látka byla zachycena v roce 2014 v České republice a ve Švédsku. Kontrolována je ve dvou evropských státech (CY, TR). Inspektorát OPL zaznamenal zvýšený počet dotazů ze strany advokátních kanceláří, zastupujících dovozce chemických látek, k legalitě dovozu této látky. Jedná se o látku ze skupiny </w:t>
      </w:r>
      <w:proofErr w:type="spellStart"/>
      <w:r>
        <w:t>katinonů</w:t>
      </w:r>
      <w:proofErr w:type="spellEnd"/>
      <w:r>
        <w:t>. Polohový izomer této látky 4-MEC je již zařazen v příloze č. 4 k nařízení vlády.</w:t>
      </w:r>
    </w:p>
    <w:p w:rsidR="00DA2914" w:rsidRDefault="00DA2914" w:rsidP="00DA2914">
      <w:pPr>
        <w:ind w:firstLine="709"/>
      </w:pPr>
    </w:p>
    <w:p w:rsidR="00DA2914" w:rsidRDefault="00DA2914" w:rsidP="00DA2914">
      <w:pPr>
        <w:ind w:firstLine="709"/>
      </w:pPr>
      <w:proofErr w:type="gramStart"/>
      <w:r>
        <w:t>Látka 3-MMC</w:t>
      </w:r>
      <w:proofErr w:type="gramEnd"/>
      <w:r>
        <w:t xml:space="preserve"> se zařazuje do přílohy č. 4 k nařízení vlády v abecedním pořádku </w:t>
      </w:r>
      <w:r>
        <w:br/>
        <w:t>na základě rozhodnutí pracovní skupiny EWS. Výskyt této látky byl dosud hlášen ve 12 evropských státech (BE, FI, DE, EL, HU, IE, IT, NR, SK, SI, SE, UK). Látka je kontrolovaná v 6 evropských státech (HU, IE, SK, SI, SE, TR). Pokud jde o zdravotní rizika, ve Švédsku bylo v roce 2013 identifikováno 7 případů úmrtí v souvislosti s 3-MMC. V České republice nebyl hlášen výskyt této látky. Látka s daným označením byla v nabídce 3 českých e-</w:t>
      </w:r>
      <w:proofErr w:type="spellStart"/>
      <w:r>
        <w:t>shopů</w:t>
      </w:r>
      <w:proofErr w:type="spellEnd"/>
      <w:r>
        <w:t xml:space="preserve"> </w:t>
      </w:r>
      <w:r>
        <w:br/>
        <w:t>v roce 2013 a 2 v roce 2014.</w:t>
      </w:r>
    </w:p>
    <w:p w:rsidR="00DA2914" w:rsidRDefault="00DA2914" w:rsidP="00DA2914">
      <w:pPr>
        <w:ind w:firstLine="709"/>
      </w:pPr>
    </w:p>
    <w:p w:rsidR="00DA2914" w:rsidRDefault="00DA2914" w:rsidP="00DA2914">
      <w:pPr>
        <w:ind w:firstLine="709"/>
        <w:rPr>
          <w:szCs w:val="24"/>
        </w:rPr>
      </w:pPr>
      <w:r>
        <w:t xml:space="preserve">Látka </w:t>
      </w:r>
      <w:proofErr w:type="spellStart"/>
      <w:r>
        <w:t>Methoxetamin</w:t>
      </w:r>
      <w:proofErr w:type="spellEnd"/>
      <w:r>
        <w:t xml:space="preserve"> se zařazuje do přílohy č. 4 k nařízení vlády v abecedním pořádku na základě </w:t>
      </w:r>
      <w:r>
        <w:rPr>
          <w:szCs w:val="24"/>
        </w:rPr>
        <w:t>prováděcího rozhodnutí Rady (2014/688/EU) ze dne 25. září 2014. Tímto rozhodnutím se Česká republika musí řídit a je povinna jeho podmínky splnit do 2. října 2015.</w:t>
      </w:r>
    </w:p>
    <w:p w:rsidR="00DA2914" w:rsidRDefault="00DA2914" w:rsidP="00DA2914">
      <w:pPr>
        <w:ind w:firstLine="709"/>
      </w:pPr>
    </w:p>
    <w:p w:rsidR="00DA2914" w:rsidRDefault="00DA2914" w:rsidP="00DA2914">
      <w:pPr>
        <w:ind w:firstLine="709"/>
        <w:rPr>
          <w:szCs w:val="24"/>
        </w:rPr>
      </w:pPr>
      <w:r>
        <w:t xml:space="preserve">Látka MT-45 se zařazuje do přílohy č. 4 k nařízení vlády v abecedním pořádku </w:t>
      </w:r>
      <w:r>
        <w:br/>
        <w:t xml:space="preserve">na základě </w:t>
      </w:r>
      <w:r>
        <w:rPr>
          <w:szCs w:val="24"/>
        </w:rPr>
        <w:t>návrhu rozhodnutí Rady EU. Jde o látku ze skupiny piperazinů. Jeden členský stát Evropské unie oznámil celkem 28 úmrtí, ke kterým došlo mezi listopadem 2013 a červnem 2014. Ve většině případů byla přítomnost MT-45 analyticky potvrzena v biologických vzorcích. Stejný členský stát oznámil 18 případů otravy bez následku smrti.</w:t>
      </w:r>
      <w:r>
        <w:t xml:space="preserve"> </w:t>
      </w:r>
      <w:r>
        <w:rPr>
          <w:szCs w:val="24"/>
        </w:rPr>
        <w:t>MT-45 je na trhu s drogami v Evropské unii dostupná od října 2013, kde je převážně prostřednictvím internetu prodávána jako „chemikálie určená pro výzkumné účely“. Bylo zjištěno dvanáct stránek internetových dodavatelů a prodejců, kteří nabízejí MT-45 k prodeji, přičemž někteří mají zjevně sídlo v Unii.</w:t>
      </w:r>
    </w:p>
    <w:p w:rsidR="00DA2914" w:rsidRDefault="00DA2914" w:rsidP="00DA2914">
      <w:pPr>
        <w:ind w:firstLine="709"/>
        <w:rPr>
          <w:szCs w:val="24"/>
        </w:rPr>
      </w:pPr>
    </w:p>
    <w:p w:rsidR="00DA2914" w:rsidRDefault="00DA2914" w:rsidP="00DA2914">
      <w:pPr>
        <w:ind w:firstLine="709"/>
      </w:pPr>
      <w:r>
        <w:t xml:space="preserve">Látka </w:t>
      </w:r>
      <w:proofErr w:type="spellStart"/>
      <w:r>
        <w:t>Pentedron</w:t>
      </w:r>
      <w:proofErr w:type="spellEnd"/>
      <w:r>
        <w:t xml:space="preserve"> se zařazuje do přílohy č. 4 k nařízení vlády v abecedním pořádku na základě rozhodnutí pracovní skupiny EWS. Výskyt této látky byl dosud hlášen v 17 evropských státech (AT, BE, BG, HR, CZ, DK, FR, DE, HU, IT, LV, NO, PL, SK, SI, SE, UK). Látka je kontrolovaná v 13 evropských státech (BE, FR, DE, HU, IE, IT, LT, PT, SK, SI, SE, TR, UK). V České republice byl hlášen výskyt této látky v letech 2010, 2012 a 2013 (záchyty nejen v podobě prášku, ale také jako příměs tablet extáze). Látka s daným označením byla v nabídce 3 českých e-</w:t>
      </w:r>
      <w:proofErr w:type="spellStart"/>
      <w:r>
        <w:t>shopů</w:t>
      </w:r>
      <w:proofErr w:type="spellEnd"/>
      <w:r>
        <w:t xml:space="preserve"> v roce 2014.</w:t>
      </w:r>
    </w:p>
    <w:p w:rsidR="00DA2914" w:rsidRDefault="00DA2914" w:rsidP="00DA2914">
      <w:pPr>
        <w:ind w:firstLine="709"/>
      </w:pPr>
    </w:p>
    <w:p w:rsidR="00DA2914" w:rsidRDefault="00DA2914" w:rsidP="00DA2914">
      <w:pPr>
        <w:ind w:firstLine="709"/>
      </w:pPr>
      <w:r>
        <w:t xml:space="preserve">Látka </w:t>
      </w:r>
      <w:r>
        <w:rPr>
          <w:color w:val="000000"/>
          <w:szCs w:val="24"/>
        </w:rPr>
        <w:sym w:font="Symbol" w:char="F061"/>
      </w:r>
      <w:r>
        <w:rPr>
          <w:color w:val="000000"/>
          <w:szCs w:val="24"/>
        </w:rPr>
        <w:t>-PVP</w:t>
      </w:r>
      <w:r>
        <w:t xml:space="preserve"> se zařazuje do přílohy č. 4 k nařízení vlády v abecedním pořádku </w:t>
      </w:r>
      <w:r>
        <w:br/>
        <w:t xml:space="preserve">na základě rozhodnutí pracovní skupiny EWS. Výskyt této látky byl dosud hlášen ve 20 evropských státech (BE, HR, CZ, FR, DE, EL, HU, IE, IT, LV, LT, LU, MT, NO, RO, SI, ES, SE, TR, UK). Látka je kontrolovaná ve 12 evropských státech (FR, DE, HU, IE, IT, LT, PT, SI, SK, SE, TR, UK). Užití α-PVP může být spojeno s příznaky jako zrakové halucinace, poruchy chování (úzkost, neklid, časová a prostorová dezorientace a zkreslené vnímání), mydriáza, tachykardie a </w:t>
      </w:r>
      <w:proofErr w:type="spellStart"/>
      <w:r>
        <w:t>rhabdomyolýza</w:t>
      </w:r>
      <w:proofErr w:type="spellEnd"/>
      <w:r>
        <w:t xml:space="preserve">. Pokud jde o zdravotní rizika, ve Francii byly v roce 2012 identifikovány 2 případy úmrtí v souvislosti s α-PVP. V České republice byl hlášen výskyt v letech 2011, 2012 a 2013. Látka s daným označením byla v nabídce 2 českých </w:t>
      </w:r>
      <w:r>
        <w:br/>
        <w:t>e-</w:t>
      </w:r>
      <w:proofErr w:type="spellStart"/>
      <w:r>
        <w:t>shopů</w:t>
      </w:r>
      <w:proofErr w:type="spellEnd"/>
      <w:r>
        <w:t xml:space="preserve"> v roce 2013 a 2 v roce 2014.</w:t>
      </w:r>
    </w:p>
    <w:p w:rsidR="00DA2914" w:rsidRDefault="00DA2914" w:rsidP="00DA2914">
      <w:pPr>
        <w:ind w:firstLine="709"/>
      </w:pPr>
    </w:p>
    <w:p w:rsidR="00DA2914" w:rsidRDefault="00DA2914" w:rsidP="00DA2914">
      <w:pPr>
        <w:ind w:firstLine="709"/>
      </w:pPr>
    </w:p>
    <w:p w:rsidR="00DA2914" w:rsidRDefault="00DA2914" w:rsidP="00DA2914">
      <w:pPr>
        <w:jc w:val="left"/>
        <w:rPr>
          <w:b/>
          <w:szCs w:val="24"/>
        </w:rPr>
      </w:pPr>
      <w:r>
        <w:rPr>
          <w:b/>
          <w:szCs w:val="24"/>
        </w:rPr>
        <w:t>K Čl. 2</w:t>
      </w:r>
    </w:p>
    <w:p w:rsidR="00DA2914" w:rsidRDefault="00DA2914" w:rsidP="00DA2914">
      <w:pPr>
        <w:ind w:firstLine="709"/>
        <w:rPr>
          <w:b/>
          <w:szCs w:val="24"/>
        </w:rPr>
      </w:pPr>
      <w:r>
        <w:rPr>
          <w:szCs w:val="24"/>
        </w:rPr>
        <w:t xml:space="preserve">Vzhledem k tomu, že se jedná o technický předpis je třeba jej v souladu </w:t>
      </w:r>
      <w:r>
        <w:t>se směrnicí Evropského parlamentu a Rady 98/34/ES ze dne 22. června 1998 o postupu při poskytování informací v oblasti norem a technických předpisů a předpisů pro služby informační společnosti, v platném znění, zaslat k notifikaci.</w:t>
      </w:r>
    </w:p>
    <w:p w:rsidR="00DA2914" w:rsidRDefault="00DA2914" w:rsidP="00DA2914">
      <w:pPr>
        <w:ind w:firstLine="709"/>
      </w:pPr>
    </w:p>
    <w:p w:rsidR="00DA2914" w:rsidRDefault="00DA2914" w:rsidP="00DA2914">
      <w:pPr>
        <w:ind w:firstLine="709"/>
      </w:pPr>
    </w:p>
    <w:p w:rsidR="00DA2914" w:rsidRDefault="00DA2914" w:rsidP="00DA2914">
      <w:pPr>
        <w:jc w:val="left"/>
        <w:rPr>
          <w:b/>
          <w:szCs w:val="24"/>
        </w:rPr>
      </w:pPr>
      <w:r>
        <w:rPr>
          <w:b/>
          <w:szCs w:val="24"/>
        </w:rPr>
        <w:t>K Čl. 3</w:t>
      </w:r>
    </w:p>
    <w:p w:rsidR="00DA2914" w:rsidRDefault="00DA2914" w:rsidP="00DA2914">
      <w:pPr>
        <w:ind w:firstLine="709"/>
      </w:pPr>
      <w:r>
        <w:t>Vzhledem k potřebě zabránit průniku látek uvedených v návrhu nařízení vlády na náš trh v co možná nejkratší době a s ohledem na nutnost splnění požadavků rozhodnutí Rady Evropské unie, navrhuje se účinnost předpisu s ohledem na délku legislativního procesu stanovit na 1. červenec 2015.</w:t>
      </w:r>
    </w:p>
    <w:p w:rsidR="009F04BE" w:rsidRDefault="009F04BE"/>
    <w:sectPr w:rsidR="009F04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F1A1F"/>
    <w:multiLevelType w:val="multilevel"/>
    <w:tmpl w:val="EE2835EE"/>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
    <w:nsid w:val="7A026623"/>
    <w:multiLevelType w:val="hybridMultilevel"/>
    <w:tmpl w:val="DF7C3B10"/>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14"/>
    <w:rsid w:val="009F04BE"/>
    <w:rsid w:val="00DA2914"/>
    <w:rsid w:val="00DB3C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2914"/>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DA2914"/>
    <w:rPr>
      <w:szCs w:val="24"/>
    </w:rPr>
  </w:style>
  <w:style w:type="character" w:customStyle="1" w:styleId="ZkladntextChar">
    <w:name w:val="Základní text Char"/>
    <w:basedOn w:val="Standardnpsmoodstavce"/>
    <w:link w:val="Zkladntext"/>
    <w:semiHidden/>
    <w:rsid w:val="00DA2914"/>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DA2914"/>
    <w:pPr>
      <w:ind w:left="720"/>
      <w:contextualSpacing/>
    </w:pPr>
  </w:style>
  <w:style w:type="paragraph" w:customStyle="1" w:styleId="Textbodu">
    <w:name w:val="Text bodu"/>
    <w:basedOn w:val="Normln"/>
    <w:rsid w:val="00DA2914"/>
    <w:pPr>
      <w:numPr>
        <w:ilvl w:val="2"/>
        <w:numId w:val="1"/>
      </w:numPr>
      <w:outlineLvl w:val="8"/>
    </w:pPr>
  </w:style>
  <w:style w:type="paragraph" w:customStyle="1" w:styleId="Textpsmene">
    <w:name w:val="Text písmene"/>
    <w:basedOn w:val="Normln"/>
    <w:rsid w:val="00DA2914"/>
    <w:pPr>
      <w:numPr>
        <w:ilvl w:val="1"/>
        <w:numId w:val="1"/>
      </w:numPr>
      <w:outlineLvl w:val="7"/>
    </w:pPr>
  </w:style>
  <w:style w:type="paragraph" w:customStyle="1" w:styleId="Textodstavce">
    <w:name w:val="Text odstavce"/>
    <w:basedOn w:val="Normln"/>
    <w:rsid w:val="00DA2914"/>
    <w:pPr>
      <w:numPr>
        <w:numId w:val="1"/>
      </w:numPr>
      <w:tabs>
        <w:tab w:val="left" w:pos="851"/>
      </w:tabs>
      <w:spacing w:before="120" w:after="120"/>
      <w:outlineLvl w:val="6"/>
    </w:pPr>
  </w:style>
  <w:style w:type="paragraph" w:styleId="Textbubliny">
    <w:name w:val="Balloon Text"/>
    <w:basedOn w:val="Normln"/>
    <w:link w:val="TextbublinyChar"/>
    <w:uiPriority w:val="99"/>
    <w:semiHidden/>
    <w:unhideWhenUsed/>
    <w:rsid w:val="00DB3CB5"/>
    <w:rPr>
      <w:rFonts w:ascii="Tahoma" w:hAnsi="Tahoma" w:cs="Tahoma"/>
      <w:sz w:val="16"/>
      <w:szCs w:val="16"/>
    </w:rPr>
  </w:style>
  <w:style w:type="character" w:customStyle="1" w:styleId="TextbublinyChar">
    <w:name w:val="Text bubliny Char"/>
    <w:basedOn w:val="Standardnpsmoodstavce"/>
    <w:link w:val="Textbubliny"/>
    <w:uiPriority w:val="99"/>
    <w:semiHidden/>
    <w:rsid w:val="00DB3CB5"/>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2914"/>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DA2914"/>
    <w:rPr>
      <w:szCs w:val="24"/>
    </w:rPr>
  </w:style>
  <w:style w:type="character" w:customStyle="1" w:styleId="ZkladntextChar">
    <w:name w:val="Základní text Char"/>
    <w:basedOn w:val="Standardnpsmoodstavce"/>
    <w:link w:val="Zkladntext"/>
    <w:semiHidden/>
    <w:rsid w:val="00DA2914"/>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DA2914"/>
    <w:pPr>
      <w:ind w:left="720"/>
      <w:contextualSpacing/>
    </w:pPr>
  </w:style>
  <w:style w:type="paragraph" w:customStyle="1" w:styleId="Textbodu">
    <w:name w:val="Text bodu"/>
    <w:basedOn w:val="Normln"/>
    <w:rsid w:val="00DA2914"/>
    <w:pPr>
      <w:numPr>
        <w:ilvl w:val="2"/>
        <w:numId w:val="1"/>
      </w:numPr>
      <w:outlineLvl w:val="8"/>
    </w:pPr>
  </w:style>
  <w:style w:type="paragraph" w:customStyle="1" w:styleId="Textpsmene">
    <w:name w:val="Text písmene"/>
    <w:basedOn w:val="Normln"/>
    <w:rsid w:val="00DA2914"/>
    <w:pPr>
      <w:numPr>
        <w:ilvl w:val="1"/>
        <w:numId w:val="1"/>
      </w:numPr>
      <w:outlineLvl w:val="7"/>
    </w:pPr>
  </w:style>
  <w:style w:type="paragraph" w:customStyle="1" w:styleId="Textodstavce">
    <w:name w:val="Text odstavce"/>
    <w:basedOn w:val="Normln"/>
    <w:rsid w:val="00DA2914"/>
    <w:pPr>
      <w:numPr>
        <w:numId w:val="1"/>
      </w:numPr>
      <w:tabs>
        <w:tab w:val="left" w:pos="851"/>
      </w:tabs>
      <w:spacing w:before="120" w:after="120"/>
      <w:outlineLvl w:val="6"/>
    </w:pPr>
  </w:style>
  <w:style w:type="paragraph" w:styleId="Textbubliny">
    <w:name w:val="Balloon Text"/>
    <w:basedOn w:val="Normln"/>
    <w:link w:val="TextbublinyChar"/>
    <w:uiPriority w:val="99"/>
    <w:semiHidden/>
    <w:unhideWhenUsed/>
    <w:rsid w:val="00DB3CB5"/>
    <w:rPr>
      <w:rFonts w:ascii="Tahoma" w:hAnsi="Tahoma" w:cs="Tahoma"/>
      <w:sz w:val="16"/>
      <w:szCs w:val="16"/>
    </w:rPr>
  </w:style>
  <w:style w:type="character" w:customStyle="1" w:styleId="TextbublinyChar">
    <w:name w:val="Text bubliny Char"/>
    <w:basedOn w:val="Standardnpsmoodstavce"/>
    <w:link w:val="Textbubliny"/>
    <w:uiPriority w:val="99"/>
    <w:semiHidden/>
    <w:rsid w:val="00DB3CB5"/>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1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2874</Words>
  <Characters>16962</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19797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Hlaveš Milan JUDr.</dc:creator>
  <cp:lastModifiedBy>Hlaveš Milan JUDr.</cp:lastModifiedBy>
  <cp:revision>2</cp:revision>
  <cp:lastPrinted>2015-03-17T11:35:00Z</cp:lastPrinted>
  <dcterms:created xsi:type="dcterms:W3CDTF">2015-03-17T11:17:00Z</dcterms:created>
  <dcterms:modified xsi:type="dcterms:W3CDTF">2015-03-17T11:40:00Z</dcterms:modified>
</cp:coreProperties>
</file>